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5AB7B" w14:textId="3209F812" w:rsidR="00EC093E" w:rsidRDefault="007F770E" w:rsidP="007F770E">
      <w:pPr>
        <w:pStyle w:val="Ttulo1"/>
        <w:jc w:val="center"/>
      </w:pPr>
      <w:r>
        <w:t>NIF C-1 Efectivo y equivalentes de efectivo.</w:t>
      </w:r>
    </w:p>
    <w:p w14:paraId="26A93A81" w14:textId="77777777" w:rsidR="007F770E" w:rsidRPr="007F770E" w:rsidRDefault="007F770E" w:rsidP="007F770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7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Una empresa recibe un préstamo en dólares y lo deposita en su cuenta bancaria en moneda extranjera. Al final del período contable, el tipo de cambio ha variado. ¿Cómo debe </w:t>
      </w:r>
      <w:proofErr w:type="spellStart"/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valuarse</w:t>
      </w:r>
      <w:proofErr w:type="spellEnd"/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el saldo en la cuenta bancaria según la NIF C-1?</w:t>
      </w:r>
    </w:p>
    <w:p w14:paraId="45362760" w14:textId="77777777" w:rsidR="007F770E" w:rsidRPr="007F770E" w:rsidRDefault="007F770E" w:rsidP="007F770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a) Al tipo de cambio de la fecha de la transacción.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b) Al valor nominal en la moneda extranjera.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c) Al tipo de cambio de cierre de los estados financieros.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d) No se requiere revaluación.</w:t>
      </w:r>
    </w:p>
    <w:p w14:paraId="7C633A94" w14:textId="77777777" w:rsidR="007F770E" w:rsidRPr="007F770E" w:rsidRDefault="007F770E" w:rsidP="007F770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7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Una empresa tiene oro como un equivalente de efectivo debido a su alta liquidez. Según la NIF C-1, ¿cómo debe ser valuado al cierre del ejercicio?</w:t>
      </w:r>
    </w:p>
    <w:p w14:paraId="05CB3316" w14:textId="77777777" w:rsidR="007F770E" w:rsidRPr="007F770E" w:rsidRDefault="007F770E" w:rsidP="007F770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a) A su costo de adquisición original.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b) A su valor nominal.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c) A su valor razonable en la fecha de cierre.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d) A su valor de realización neto.</w:t>
      </w:r>
    </w:p>
    <w:p w14:paraId="4D87C275" w14:textId="77777777" w:rsidR="007F770E" w:rsidRPr="007F770E" w:rsidRDefault="007F770E" w:rsidP="007F770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7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 una entidad tiene una cuenta de ahorro con restricciones para su uso por 18 meses, ¿cómo debe presentarse en el estado de situación financiera según la NIF C-1?</w:t>
      </w:r>
    </w:p>
    <w:p w14:paraId="6C3BECFA" w14:textId="77777777" w:rsidR="007F770E" w:rsidRPr="007F770E" w:rsidRDefault="007F770E" w:rsidP="007F770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a) Como parte de efectivo y equivalentes de efectivo a corto plazo.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b) Como un activo no circulante.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c) Como un pasivo a largo plazo.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d) No debe ser presentado en los estados financieros.</w:t>
      </w:r>
    </w:p>
    <w:p w14:paraId="5032D655" w14:textId="77777777" w:rsidR="007F770E" w:rsidRPr="007F770E" w:rsidRDefault="007F770E" w:rsidP="007F770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7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Una empresa mantiene un sobregiro bancario al final del período. ¿Cómo debe presentarse este sobregiro en los estados financieros?</w:t>
      </w:r>
    </w:p>
    <w:p w14:paraId="49555E75" w14:textId="77777777" w:rsidR="007F770E" w:rsidRPr="007F770E" w:rsidRDefault="007F770E" w:rsidP="007F770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a) Como una reducción de efectivo y equivalentes de efectivo.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b) Como un activo a corto plazo.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c) Como un pasivo a corto plazo.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d) Como una nota en los estados financieros.</w:t>
      </w:r>
    </w:p>
    <w:p w14:paraId="0F705DA2" w14:textId="77777777" w:rsidR="007F770E" w:rsidRPr="007F770E" w:rsidRDefault="007F770E" w:rsidP="007F770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7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NIF C-1 establece que los instrumentos financieros de alta liquidez que se consideren equivalentes de efectivo deben </w:t>
      </w:r>
      <w:proofErr w:type="spellStart"/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valuarse</w:t>
      </w:r>
      <w:proofErr w:type="spellEnd"/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4C4BEC1" w14:textId="77777777" w:rsidR="007F770E" w:rsidRPr="007F770E" w:rsidRDefault="007F770E" w:rsidP="007F770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a) A su valor razonable al inicio del período.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b) A su valor nominal.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c) Al costo de adquisición.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d) A su valor razonable en la fecha de cierre de los estados financieros.</w:t>
      </w:r>
    </w:p>
    <w:p w14:paraId="2BAB8FE0" w14:textId="77777777" w:rsidR="007F770E" w:rsidRPr="007F770E" w:rsidRDefault="007F770E" w:rsidP="007F770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7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6.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¿Cuál de las siguientes situaciones requeriría una revelación en las notas a los estados financieros según la NIF C-1?</w:t>
      </w:r>
    </w:p>
    <w:p w14:paraId="6FBB40C4" w14:textId="77777777" w:rsidR="007F770E" w:rsidRPr="007F770E" w:rsidRDefault="007F770E" w:rsidP="007F770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a) Un saldo de efectivo en moneda extranjera menor a 10% del total.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b) Restricciones sobre una parte significativa de los equivalentes de efectivo.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c) Efectivo destinado para operaciones diarias de la entidad.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d) Fluctuaciones cambiarias menores al 5%.</w:t>
      </w:r>
    </w:p>
    <w:p w14:paraId="11A1CAF0" w14:textId="77777777" w:rsidR="007F770E" w:rsidRPr="007F770E" w:rsidRDefault="007F770E" w:rsidP="007F770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7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7.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Una empresa entrega cheques a proveedores antes de la fecha de cierre, pero estos no han sido cobrados. ¿Cómo debe presentarse el importe correspondiente según la NIF C-1?</w:t>
      </w:r>
    </w:p>
    <w:p w14:paraId="06F3046D" w14:textId="77777777" w:rsidR="007F770E" w:rsidRPr="007F770E" w:rsidRDefault="007F770E" w:rsidP="007F770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a) Como una deducción del saldo de efectivo.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b) Como efectivo y equivalentes de efectivo, reconociendo el pasivo correspondiente.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c) Como una reducción en el pasivo.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d) Como un gasto en los estados financieros.</w:t>
      </w:r>
    </w:p>
    <w:p w14:paraId="5824D49D" w14:textId="77777777" w:rsidR="007F770E" w:rsidRPr="007F770E" w:rsidRDefault="007F770E" w:rsidP="007F770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7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8.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 una entidad posee una inversión en un instrumento financiero a corto plazo, ¿cuál es la característica clave para que se clasifique como equivalente de efectivo bajo la NIF C-1?</w:t>
      </w:r>
    </w:p>
    <w:p w14:paraId="17FD80E6" w14:textId="77777777" w:rsidR="007F770E" w:rsidRPr="007F770E" w:rsidRDefault="007F770E" w:rsidP="007F770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a) Que sea un instrumento de deuda a largo plazo.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b) Que sea altamente líquido y fácilmente convertible en efectivo.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c) Que no devengue intereses.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d) Que esté destinado para la compra de activos fijos.</w:t>
      </w:r>
    </w:p>
    <w:p w14:paraId="3B0C5FE3" w14:textId="77777777" w:rsidR="007F770E" w:rsidRPr="007F770E" w:rsidRDefault="007F770E" w:rsidP="007F770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7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9.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Según la NIF C-1, si una entidad tiene un monto significativo de efectivo restringido por más de un año, ¿cómo debe presentarse?</w:t>
      </w:r>
    </w:p>
    <w:p w14:paraId="64C74D85" w14:textId="77777777" w:rsidR="007F770E" w:rsidRPr="007F770E" w:rsidRDefault="007F770E" w:rsidP="007F770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a) Como parte del efectivo y equivalentes de efectivo.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b) Como parte del capital contable.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c) Como efectivo restringido dentro de los activos a largo plazo.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d) No se presenta en los estados financieros.</w:t>
      </w:r>
    </w:p>
    <w:p w14:paraId="06AE5C99" w14:textId="77777777" w:rsidR="007F770E" w:rsidRPr="007F770E" w:rsidRDefault="007F770E" w:rsidP="007F770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7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10.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Una entidad vende un activo y recibe el pago mediante una cuenta en moneda extranjera. Según la NIF C-1, ¿cómo debe </w:t>
      </w:r>
      <w:proofErr w:type="spellStart"/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valuarse</w:t>
      </w:r>
      <w:proofErr w:type="spellEnd"/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el saldo de esta cuenta al cierre del ejercicio?</w:t>
      </w:r>
    </w:p>
    <w:p w14:paraId="6A2307F6" w14:textId="77777777" w:rsidR="007F770E" w:rsidRPr="007F770E" w:rsidRDefault="007F770E" w:rsidP="007F770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a) A su valor nominal.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b) Al tipo de cambio vigente en la fecha de la transacción.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c) Al tipo de cambio vigente al cierre de los estados financieros.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d) No requiere ser valuado nuevamente.</w:t>
      </w:r>
    </w:p>
    <w:p w14:paraId="6227E71A" w14:textId="77777777" w:rsidR="007F770E" w:rsidRPr="007F770E" w:rsidRDefault="007F770E" w:rsidP="007F770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7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11.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Según la NIF C-1, ¿cómo debe </w:t>
      </w:r>
      <w:proofErr w:type="spellStart"/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valuarse</w:t>
      </w:r>
      <w:proofErr w:type="spellEnd"/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el efectivo en moneda nacional?</w:t>
      </w:r>
    </w:p>
    <w:p w14:paraId="2FD9CBDB" w14:textId="77777777" w:rsidR="007F770E" w:rsidRPr="007F770E" w:rsidRDefault="007F770E" w:rsidP="007F770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a) A su valor razonable.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b) Al valor nominal.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c) Al valor neto de realización.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d) Al costo de adquisición.</w:t>
      </w:r>
    </w:p>
    <w:p w14:paraId="5E2DF1DD" w14:textId="77777777" w:rsidR="007F770E" w:rsidRPr="007F770E" w:rsidRDefault="007F770E" w:rsidP="007F770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7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12.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Una empresa posee equivalentes de efectivo en unidades de inversión (</w:t>
      </w:r>
      <w:proofErr w:type="spellStart"/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UDIS</w:t>
      </w:r>
      <w:proofErr w:type="spellEnd"/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al cierre del ejercicio. ¿Cómo deben </w:t>
      </w:r>
      <w:proofErr w:type="spellStart"/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valuarse</w:t>
      </w:r>
      <w:proofErr w:type="spellEnd"/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según la NIF C-1?</w:t>
      </w:r>
    </w:p>
    <w:p w14:paraId="23A4989C" w14:textId="77777777" w:rsidR="007F770E" w:rsidRPr="007F770E" w:rsidRDefault="007F770E" w:rsidP="007F770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a) A su valor nominal.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b) Al valor de adquisición.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c) Reexpresados al valor de cambio en la fecha de cierre.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d) Al costo menos depreciación.</w:t>
      </w:r>
    </w:p>
    <w:p w14:paraId="23464A05" w14:textId="77777777" w:rsidR="007F770E" w:rsidRPr="007F770E" w:rsidRDefault="007F770E" w:rsidP="007F770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7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13.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 una entidad presenta un sobregiro bancario que excede el saldo de efectivo al cierre del ejercicio, ¿cómo se presenta según la NIF C-1?</w:t>
      </w:r>
    </w:p>
    <w:p w14:paraId="5A9279A2" w14:textId="77777777" w:rsidR="007F770E" w:rsidRPr="007F770E" w:rsidRDefault="007F770E" w:rsidP="007F770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a) Como efectivo negativo.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b) Se netea contra otros activos corrientes.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c) Como un pasivo a corto plazo.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d) Como un ajuste al capital contable.</w:t>
      </w:r>
    </w:p>
    <w:p w14:paraId="7E107067" w14:textId="77777777" w:rsidR="007F770E" w:rsidRPr="007F770E" w:rsidRDefault="007F770E" w:rsidP="007F770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7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14.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¿Cuál de los siguientes rubros no se considera equivalente de efectivo según la NIF C-1?</w:t>
      </w:r>
    </w:p>
    <w:p w14:paraId="57B523E4" w14:textId="77777777" w:rsidR="007F770E" w:rsidRPr="007F770E" w:rsidRDefault="007F770E" w:rsidP="007F770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a) Bonos gubernamentales de corto plazo.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b) Metales preciosos con alta liquidez.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c) Depósitos a la vista en bancos.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d) Cuentas por cobrar a 60 días.</w:t>
      </w:r>
    </w:p>
    <w:p w14:paraId="23D1A06D" w14:textId="77777777" w:rsidR="007F770E" w:rsidRPr="007F770E" w:rsidRDefault="007F770E" w:rsidP="007F770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7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15.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Una entidad tiene inversiones en instrumentos financieros de alta liquidez que devengan intereses. ¿Cómo deben </w:t>
      </w:r>
      <w:proofErr w:type="spellStart"/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valuarse</w:t>
      </w:r>
      <w:proofErr w:type="spellEnd"/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estos instrumentos bajo la NIF C-1?</w:t>
      </w:r>
    </w:p>
    <w:p w14:paraId="3C044BC4" w14:textId="77777777" w:rsidR="007F770E" w:rsidRPr="007F770E" w:rsidRDefault="007F770E" w:rsidP="007F770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a) Al valor nominal.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b) Al costo menos los intereses devengados.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c) A su valor razonable.</w:t>
      </w:r>
      <w:r w:rsidRPr="007F7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d) Al valor presente descontado de los flujos futuros.</w:t>
      </w:r>
    </w:p>
    <w:sectPr w:rsidR="007F770E" w:rsidRPr="007F77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0E"/>
    <w:rsid w:val="001C0031"/>
    <w:rsid w:val="002D52A8"/>
    <w:rsid w:val="00565287"/>
    <w:rsid w:val="00605DDB"/>
    <w:rsid w:val="007F770E"/>
    <w:rsid w:val="009B1D01"/>
    <w:rsid w:val="009B29FD"/>
    <w:rsid w:val="00C04935"/>
    <w:rsid w:val="00C32F1A"/>
    <w:rsid w:val="00C638F8"/>
    <w:rsid w:val="00CF00CD"/>
    <w:rsid w:val="00D0247D"/>
    <w:rsid w:val="00D02C38"/>
    <w:rsid w:val="00D03542"/>
    <w:rsid w:val="00DF2C95"/>
    <w:rsid w:val="00EC093E"/>
    <w:rsid w:val="00F2596C"/>
    <w:rsid w:val="00FA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EE3B4"/>
  <w15:chartTrackingRefBased/>
  <w15:docId w15:val="{A2BBE3C8-D77B-4C69-AADF-D1273B35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935"/>
    <w:pPr>
      <w:spacing w:after="12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7F7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7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770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770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770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770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770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770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770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7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7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7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77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77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77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77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77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77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77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7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770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7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77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770E"/>
    <w:rPr>
      <w:rFonts w:ascii="Arial" w:hAnsi="Arial"/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77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77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7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770E"/>
    <w:rPr>
      <w:rFonts w:ascii="Arial" w:hAnsi="Arial"/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77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Ariza</dc:creator>
  <cp:keywords/>
  <dc:description/>
  <cp:lastModifiedBy>Fran Ariza</cp:lastModifiedBy>
  <cp:revision>3</cp:revision>
  <dcterms:created xsi:type="dcterms:W3CDTF">2024-09-14T20:54:00Z</dcterms:created>
  <dcterms:modified xsi:type="dcterms:W3CDTF">2024-09-14T20:55:00Z</dcterms:modified>
</cp:coreProperties>
</file>