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C2CE" w14:textId="07A11439" w:rsidR="00545B38" w:rsidRPr="00DF13F9" w:rsidRDefault="00545B38" w:rsidP="00DF13F9">
      <w:pPr>
        <w:pStyle w:val="Subttulo"/>
        <w:ind w:left="284" w:hanging="284"/>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u w:val="single"/>
          <w:lang w:eastAsia="es-MX"/>
        </w:rPr>
        <w:t>Norma de Información Financiera B-2</w:t>
      </w:r>
      <w:hyperlink r:id="rId4" w:anchor="fn1" w:history="1">
        <w:r w:rsidRPr="00DF13F9">
          <w:rPr>
            <w:rFonts w:ascii="Helvetica" w:eastAsia="Times New Roman" w:hAnsi="Helvetica"/>
            <w:color w:val="000000" w:themeColor="text1"/>
            <w:sz w:val="24"/>
            <w:szCs w:val="24"/>
            <w:u w:val="single"/>
            <w:vertAlign w:val="superscript"/>
            <w:lang w:eastAsia="es-MX"/>
          </w:rPr>
          <w:t>1</w:t>
        </w:r>
      </w:hyperlink>
      <w:r w:rsidRPr="00DF13F9">
        <w:rPr>
          <w:rFonts w:ascii="Helvetica" w:eastAsia="Times New Roman" w:hAnsi="Helvetica"/>
          <w:color w:val="000000" w:themeColor="text1"/>
          <w:sz w:val="24"/>
          <w:szCs w:val="24"/>
          <w:lang w:eastAsia="es-MX"/>
        </w:rPr>
        <w:t> </w:t>
      </w:r>
      <w:r w:rsidRPr="00DF13F9">
        <w:rPr>
          <w:rFonts w:ascii="Helvetica" w:eastAsia="Times New Roman" w:hAnsi="Helvetica"/>
          <w:color w:val="000000" w:themeColor="text1"/>
          <w:sz w:val="24"/>
          <w:szCs w:val="24"/>
          <w:lang w:eastAsia="es-MX"/>
        </w:rPr>
        <w:br/>
      </w:r>
      <w:r w:rsidRPr="00DF13F9">
        <w:rPr>
          <w:rFonts w:ascii="Helvetica" w:eastAsia="Times New Roman" w:hAnsi="Helvetica"/>
          <w:color w:val="000000" w:themeColor="text1"/>
          <w:sz w:val="24"/>
          <w:szCs w:val="24"/>
          <w:u w:val="single"/>
          <w:lang w:eastAsia="es-MX"/>
        </w:rPr>
        <w:t>ESTADO DE FLUJOS DE EFECTIVO</w:t>
      </w:r>
    </w:p>
    <w:p w14:paraId="7276A9D8" w14:textId="418E046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5" w:anchor="Q_6" w:history="1">
        <w:r w:rsidRPr="00DF13F9">
          <w:rPr>
            <w:rFonts w:ascii="Helvetica" w:eastAsia="Times New Roman" w:hAnsi="Helvetica"/>
            <w:color w:val="000000" w:themeColor="text1"/>
            <w:sz w:val="24"/>
            <w:szCs w:val="24"/>
            <w:u w:val="single"/>
            <w:lang w:eastAsia="es-MX"/>
          </w:rPr>
          <w:t>NORMAS DE PRESENTACIÓN</w:t>
        </w:r>
      </w:hyperlink>
    </w:p>
    <w:p w14:paraId="4D5EC744"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6" w:anchor="iQ_6" w:history="1">
        <w:r w:rsidRPr="00DF13F9">
          <w:rPr>
            <w:rFonts w:ascii="Helvetica" w:eastAsia="Times New Roman" w:hAnsi="Helvetica"/>
            <w:color w:val="000000" w:themeColor="text1"/>
            <w:sz w:val="24"/>
            <w:szCs w:val="24"/>
            <w:u w:val="single"/>
            <w:lang w:eastAsia="es-MX"/>
          </w:rPr>
          <w:t>Normas generales</w:t>
        </w:r>
      </w:hyperlink>
    </w:p>
    <w:p w14:paraId="453EE195"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11</w:t>
      </w:r>
    </w:p>
    <w:p w14:paraId="1860F409"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La entidad debe excluir del estado de flujos de efectivo, todas las operaciones que no afectaron los flujos de efectivo. Algunos ejemplos de estas operaciones son:</w:t>
      </w:r>
    </w:p>
    <w:p w14:paraId="4DB62E5D" w14:textId="25DC16CC"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a)</w:t>
      </w:r>
      <w:r w:rsidR="00C13A58" w:rsidRP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adquisición a crédito de propiedades, planta y equipo; por ejemplo, adquisición a través de esquemas de arrendamiento capitalizable y otro tipo de financiamientos similares;</w:t>
      </w:r>
    </w:p>
    <w:p w14:paraId="4303B6D1" w14:textId="06D9BB05"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b)</w:t>
      </w:r>
      <w:r w:rsidR="00C13A58" w:rsidRP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fluctuaciones cambiarias devengadas no realizadas;</w:t>
      </w:r>
    </w:p>
    <w:p w14:paraId="2BDA4D28" w14:textId="14547A4F"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c)</w:t>
      </w:r>
      <w:r w:rsidR="00C13A58" w:rsidRP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efectos por reconocimiento del valor razonable;</w:t>
      </w:r>
    </w:p>
    <w:p w14:paraId="4560736F" w14:textId="710225FA"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d)</w:t>
      </w:r>
      <w:r w:rsidR="00C13A58" w:rsidRP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conversión de deuda a capital y distribución de dividendos en acciones;</w:t>
      </w:r>
    </w:p>
    <w:p w14:paraId="4D2C1273" w14:textId="60CB90DD"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e)</w:t>
      </w:r>
      <w:r w:rsidR="00C13A58" w:rsidRP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adquisición de un negocio con pago en acciones;</w:t>
      </w:r>
    </w:p>
    <w:p w14:paraId="7D086B90" w14:textId="0AC396BE"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f)</w:t>
      </w:r>
      <w:r w:rsidR="00C13A58" w:rsidRP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pagos en acciones a los empleados; o</w:t>
      </w:r>
    </w:p>
    <w:p w14:paraId="51F84D0B" w14:textId="5AC32CF6"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g)</w:t>
      </w:r>
      <w:r w:rsidR="00C13A58" w:rsidRP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donaciones o aportaciones de capital en especie;</w:t>
      </w:r>
    </w:p>
    <w:p w14:paraId="352FA5E4" w14:textId="0E29F15B"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h)</w:t>
      </w:r>
      <w:r w:rsidR="00C13A58" w:rsidRP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operaciones negociadas con intercambio de activos;</w:t>
      </w:r>
    </w:p>
    <w:p w14:paraId="7E43675A" w14:textId="44A4AA29"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i)</w:t>
      </w:r>
      <w:r w:rsidR="00C13A58" w:rsidRP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creación de reservas y cualquier otro traspaso entre cuentas de capital contable.</w:t>
      </w:r>
      <w:hyperlink r:id="rId7" w:anchor="fn4" w:history="1">
        <w:r w:rsidRPr="00DF13F9">
          <w:rPr>
            <w:rFonts w:ascii="Helvetica" w:eastAsia="Times New Roman" w:hAnsi="Helvetica"/>
            <w:color w:val="000000" w:themeColor="text1"/>
            <w:sz w:val="24"/>
            <w:szCs w:val="24"/>
            <w:u w:val="single"/>
            <w:vertAlign w:val="superscript"/>
            <w:lang w:eastAsia="es-MX"/>
          </w:rPr>
          <w:t>4</w:t>
        </w:r>
      </w:hyperlink>
    </w:p>
    <w:p w14:paraId="10AE310A" w14:textId="77777777" w:rsidR="00C13A58" w:rsidRPr="00DF13F9" w:rsidRDefault="00C13A58" w:rsidP="00DF13F9">
      <w:pPr>
        <w:pStyle w:val="Subttulo"/>
        <w:ind w:left="284" w:hanging="284"/>
        <w:jc w:val="both"/>
        <w:rPr>
          <w:rFonts w:ascii="Helvetica" w:eastAsia="Times New Roman" w:hAnsi="Helvetica"/>
          <w:color w:val="000000" w:themeColor="text1"/>
          <w:sz w:val="24"/>
          <w:szCs w:val="24"/>
          <w:lang w:eastAsia="es-MX"/>
        </w:rPr>
      </w:pPr>
    </w:p>
    <w:p w14:paraId="60233278"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8" w:anchor="iQ_7" w:history="1">
        <w:r w:rsidRPr="00DF13F9">
          <w:rPr>
            <w:rFonts w:ascii="Helvetica" w:eastAsia="Times New Roman" w:hAnsi="Helvetica"/>
            <w:color w:val="000000" w:themeColor="text1"/>
            <w:sz w:val="24"/>
            <w:szCs w:val="24"/>
            <w:u w:val="single"/>
            <w:lang w:eastAsia="es-MX"/>
          </w:rPr>
          <w:t>Estructura básica</w:t>
        </w:r>
      </w:hyperlink>
    </w:p>
    <w:p w14:paraId="41540427"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13</w:t>
      </w:r>
    </w:p>
    <w:p w14:paraId="4F302ED9"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La entidad debe clasificar y presentar los flujos de efectivo, según la naturaleza de los mismos, en actividades de operación, de inversión y de financiamiento.</w:t>
      </w:r>
    </w:p>
    <w:p w14:paraId="06821D24"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14</w:t>
      </w:r>
    </w:p>
    <w:p w14:paraId="48A4AD8B"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Para clasificar un flujo de efectivo en alguna de las categorías antes mencionadas, debe atenderse a su sustancia económica y no a la forma que se utilizó para llevarla a cabo.</w:t>
      </w:r>
    </w:p>
    <w:p w14:paraId="70A28190"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15</w:t>
      </w:r>
    </w:p>
    <w:p w14:paraId="255169E0"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La estructura del estado de flujos de efectivo debe incluir los rubros siguientes:</w:t>
      </w:r>
    </w:p>
    <w:p w14:paraId="1905D08A" w14:textId="4E2CF34A"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lastRenderedPageBreak/>
        <w:t>a)</w:t>
      </w:r>
      <w:r w:rsidR="00C13A58" w:rsidRP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actividades de operación,</w:t>
      </w:r>
    </w:p>
    <w:p w14:paraId="0E349808" w14:textId="5F8B3619"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b)</w:t>
      </w:r>
      <w:r w:rsidR="00C13A58" w:rsidRP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actividades de inversión,</w:t>
      </w:r>
    </w:p>
    <w:p w14:paraId="64B81149" w14:textId="010612F5"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c)</w:t>
      </w:r>
      <w:r w:rsidR="00C13A58" w:rsidRP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derogado,</w:t>
      </w:r>
      <w:hyperlink r:id="rId9" w:anchor="fn5" w:history="1">
        <w:r w:rsidRPr="00DF13F9">
          <w:rPr>
            <w:rFonts w:ascii="Helvetica" w:eastAsia="Times New Roman" w:hAnsi="Helvetica"/>
            <w:color w:val="000000" w:themeColor="text1"/>
            <w:sz w:val="24"/>
            <w:szCs w:val="24"/>
            <w:u w:val="single"/>
            <w:vertAlign w:val="superscript"/>
            <w:lang w:eastAsia="es-MX"/>
          </w:rPr>
          <w:t>5</w:t>
        </w:r>
      </w:hyperlink>
    </w:p>
    <w:p w14:paraId="26FAA5FD" w14:textId="05A1099B"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d)</w:t>
      </w:r>
      <w:r w:rsidR="00C13A58" w:rsidRP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actividades de financiamiento,</w:t>
      </w:r>
    </w:p>
    <w:p w14:paraId="41917BD4" w14:textId="53C5ABD1"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e)</w:t>
      </w:r>
      <w:r w:rsidR="00C13A58" w:rsidRP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Incremento o disminución neta de efectivo y equivalentes de efectivo,</w:t>
      </w:r>
    </w:p>
    <w:p w14:paraId="3EE8BE5F" w14:textId="56B048D8"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f)</w:t>
      </w:r>
      <w:r w:rsidR="00C13A58" w:rsidRP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efectos por cambios en el valor del efectivo;</w:t>
      </w:r>
    </w:p>
    <w:p w14:paraId="76382358" w14:textId="1ED6A354"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g)</w:t>
      </w:r>
      <w:r w:rsidR="00C13A58" w:rsidRP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efectivo y equivalentes de efectivo al principio del periodo, y</w:t>
      </w:r>
    </w:p>
    <w:p w14:paraId="36DDF474" w14:textId="02AD0D0E"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h)</w:t>
      </w:r>
      <w:r w:rsidR="00C13A58" w:rsidRP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efectivo y equivalentes de efectivo al final del periodo.</w:t>
      </w:r>
      <w:hyperlink r:id="rId10" w:anchor="fn6" w:history="1">
        <w:r w:rsidRPr="00DF13F9">
          <w:rPr>
            <w:rFonts w:ascii="Helvetica" w:eastAsia="Times New Roman" w:hAnsi="Helvetica"/>
            <w:color w:val="000000" w:themeColor="text1"/>
            <w:sz w:val="24"/>
            <w:szCs w:val="24"/>
            <w:u w:val="single"/>
            <w:vertAlign w:val="superscript"/>
            <w:lang w:eastAsia="es-MX"/>
          </w:rPr>
          <w:t>6</w:t>
        </w:r>
      </w:hyperlink>
    </w:p>
    <w:p w14:paraId="532E747A"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11" w:anchor="iQ_8" w:history="1">
        <w:r w:rsidRPr="00DF13F9">
          <w:rPr>
            <w:rFonts w:ascii="Helvetica" w:eastAsia="Times New Roman" w:hAnsi="Helvetica"/>
            <w:color w:val="000000" w:themeColor="text1"/>
            <w:sz w:val="24"/>
            <w:szCs w:val="24"/>
            <w:u w:val="single"/>
            <w:lang w:eastAsia="es-MX"/>
          </w:rPr>
          <w:t>Actividades de operación</w:t>
        </w:r>
      </w:hyperlink>
    </w:p>
    <w:p w14:paraId="3837511A"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17</w:t>
      </w:r>
    </w:p>
    <w:p w14:paraId="3D2F11AF"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Los flujos de efectivo procedentes de las actividades de operación son un indicador de la medida en la que estas actividades han generado fondos líquidos suficientes para mantener la capacidad de operación de la entidad, para efectuar nuevas inversiones sin recurrir a fuentes externas de financiamiento y, en su caso, para pagar financiamientos y dividendos.</w:t>
      </w:r>
    </w:p>
    <w:p w14:paraId="51C64C1A"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18</w:t>
      </w:r>
    </w:p>
    <w:p w14:paraId="3F626001"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Debido a que los flujos de las actividades de operación son los que se derivan de las operaciones que constituyen la principal fuente de ingresos de la entidad, en esta sección se incluyen actividades que intervienen en la determinación de la utilidad o pérdida neta de la entidad o, en su caso, en el cambio neto en el patrimonio contable, exceptuando aquellas que están asociadas ya sea con las actividades de inversión o con las de financiamiento. Ejemplo de estas últimas, es el caso de la utilidad o pérdida en la venta de activo fijo, la cual debe presentarse en actividades de inversión para integrar la totalidad de los flujos generados por dicha venta.</w:t>
      </w:r>
    </w:p>
    <w:p w14:paraId="3C09E90B"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19</w:t>
      </w:r>
    </w:p>
    <w:p w14:paraId="633E2D4D"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Algunos ejemplos de flujos de efectivo por actividades de operación son los siguientes:</w:t>
      </w:r>
    </w:p>
    <w:p w14:paraId="7990348A" w14:textId="6F5E0B6B"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a)</w:t>
      </w:r>
      <w:r w:rsid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cobros en efectivo procedentes de la venta de bienes y de la prestación de servicios;</w:t>
      </w:r>
    </w:p>
    <w:p w14:paraId="29A18C2F" w14:textId="05E8EFF3"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b)</w:t>
      </w:r>
      <w:r w:rsid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cobros en efectivo derivados de regalías, cuotas, comisiones y otros ingresos;</w:t>
      </w:r>
    </w:p>
    <w:p w14:paraId="486FBC7D" w14:textId="356099DF"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c)</w:t>
      </w:r>
      <w:r w:rsid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pagos en efectivo a proveedores por el suministro de bienes y servicios;</w:t>
      </w:r>
    </w:p>
    <w:p w14:paraId="473CC589" w14:textId="36B0F699"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lastRenderedPageBreak/>
        <w:t>d)</w:t>
      </w:r>
      <w:r w:rsid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pagos en efectivo por beneficios a los empleados, así como pagos en efectivo efectuados en su nombre;</w:t>
      </w:r>
    </w:p>
    <w:p w14:paraId="2FE69DEC" w14:textId="644FD345"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e)</w:t>
      </w:r>
      <w:r w:rsid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pagos o devoluciones en efectivo, de impuestos a la utilidad;</w:t>
      </w:r>
    </w:p>
    <w:p w14:paraId="25A59AC0" w14:textId="063A8266"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f)</w:t>
      </w:r>
      <w:r w:rsid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pagos o devoluciones de otros impuestos derivados de la operación de la entidad, diferentes al impuesto a la utilidad;</w:t>
      </w:r>
    </w:p>
    <w:p w14:paraId="5A023429" w14:textId="316F7C21"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g)</w:t>
      </w:r>
      <w:r w:rsid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cobros y pagos en efectivo relacionados con instrumentos financieros negociables, con instrumentos financieros para cobrar principal e interés con clientes o con instrumentos financieros derivados utilizados con fines de negociación;</w:t>
      </w:r>
    </w:p>
    <w:p w14:paraId="5EF58906" w14:textId="3C910C1B"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h)</w:t>
      </w:r>
      <w:r w:rsid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cobros o pagos en efectivo relacionados con instrumentos financieros con fines de cobertura de posiciones primarias cuyos flujos de efectivo se clasifican como de operación, de acuerdo con lo establecido en el párrafo 20;</w:t>
      </w:r>
    </w:p>
    <w:p w14:paraId="057142E1" w14:textId="090E1A1A"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i)</w:t>
      </w:r>
      <w:r w:rsid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cobros o pagos en efectivo de las entidades de seguros por concepto de primas y prestaciones, anualidades y otras obligaciones derivadas de las pólizas suscritas; y</w:t>
      </w:r>
    </w:p>
    <w:p w14:paraId="0243CC18" w14:textId="5359426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j)</w:t>
      </w:r>
      <w:r w:rsid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cualquier cobro o pago que no pueda ser asociado con las actividades de inversión o con las de financiamiento.</w:t>
      </w:r>
    </w:p>
    <w:p w14:paraId="58F4EC46"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12" w:anchor="iQ_9" w:history="1">
        <w:r w:rsidRPr="00DF13F9">
          <w:rPr>
            <w:rFonts w:ascii="Helvetica" w:eastAsia="Times New Roman" w:hAnsi="Helvetica"/>
            <w:color w:val="000000" w:themeColor="text1"/>
            <w:sz w:val="24"/>
            <w:szCs w:val="24"/>
            <w:u w:val="single"/>
            <w:lang w:eastAsia="es-MX"/>
          </w:rPr>
          <w:t>Impuestos a la utilidad</w:t>
        </w:r>
      </w:hyperlink>
    </w:p>
    <w:p w14:paraId="47191358"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21</w:t>
      </w:r>
    </w:p>
    <w:p w14:paraId="2807EF9C"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Los flujos de efectivo relacionados con los impuestos a la utilidad deben presentarse en un rubro por separado dentro de la clasificación de actividades de operación, a menos que, con base en alguna NIF particular, deban presentarse específicamente asociados con actividades de inversión o de financiamiento, como en el caso del impuesto derivado de las operaciones discontinuadas, el cual debe presentarse como parte de las actividades de inversión.</w:t>
      </w:r>
    </w:p>
    <w:p w14:paraId="538008F0"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13" w:anchor="iQ_10" w:history="1">
        <w:r w:rsidRPr="00DF13F9">
          <w:rPr>
            <w:rFonts w:ascii="Helvetica" w:eastAsia="Times New Roman" w:hAnsi="Helvetica"/>
            <w:color w:val="000000" w:themeColor="text1"/>
            <w:sz w:val="24"/>
            <w:szCs w:val="24"/>
            <w:u w:val="single"/>
            <w:lang w:eastAsia="es-MX"/>
          </w:rPr>
          <w:t>Actividades de inversión</w:t>
        </w:r>
      </w:hyperlink>
    </w:p>
    <w:p w14:paraId="71E3D426"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22</w:t>
      </w:r>
    </w:p>
    <w:p w14:paraId="4C4EA466"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Los flujos de efectivo relacionados con actividades de inversión representan la medida en que la entidad ha canalizado recursos, esencialmente, hacia partidas que generarán ingresos y flujos de efectivo en el mediano y largo plazo.</w:t>
      </w:r>
    </w:p>
    <w:p w14:paraId="0005BACB"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23</w:t>
      </w:r>
    </w:p>
    <w:p w14:paraId="76DBBA23"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Algunos ejemplos de flujos de efectivo relacionados con actividades de inversión son los siguientes:</w:t>
      </w:r>
    </w:p>
    <w:p w14:paraId="736C0E7A" w14:textId="3F0FE979"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lastRenderedPageBreak/>
        <w:t>a)</w:t>
      </w:r>
      <w:r w:rsid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pagos en efectivo para la adquisición, instalación y, en su caso, para el desarrollo de propiedades, planta y equipo, activos intangibles y otros activos a largo plazo;</w:t>
      </w:r>
    </w:p>
    <w:p w14:paraId="6F448FEA" w14:textId="607C97F4"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b)cobros en efectivo por ventas de propiedades, planta y equipo, activos intangibles y otros activos a largo plazo;</w:t>
      </w:r>
    </w:p>
    <w:p w14:paraId="46C39C9B" w14:textId="26DE530B"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c)pagos o cobros en efectivo por la adquisición, disposición o rendimientos de instrumentos financieros, distintos de los instrumentos financieros negociables; por ejemplo: compra, cobro o venta de instrumentos financieros para cobrar principal e interés que no estén relacionados con actividades de operación, como en el caso de otras cuentas por cobrar que se derivan de actividades diferentes a la venta de bienes y servicios; así como, compra, cobro o venta de instrumentos financieros para cobrar o vender;</w:t>
      </w:r>
    </w:p>
    <w:p w14:paraId="3148D392" w14:textId="3A2499F3"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d)pagos o cobros en efectivo por la adquisición, disposición o rendimientos de instrumentos financieros de capital emitidos por otras entidades, distintos de los instrumentos clasificados como negociables; ejemplos: compra o venta de acciones en entidades asociadas o en negocios conjuntos; así como, el cobro de dividendos derivados de dichos instrumentos;</w:t>
      </w:r>
    </w:p>
    <w:p w14:paraId="00123549" w14:textId="2932C7A9"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e)préstamos en efectivo a terceros no relacionados con la operación;</w:t>
      </w:r>
    </w:p>
    <w:p w14:paraId="015EE5AF" w14:textId="6E57CAE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f)</w:t>
      </w:r>
      <w:r w:rsid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cobros en efectivo derivados del reembolso de préstamos a terceros; y</w:t>
      </w:r>
    </w:p>
    <w:p w14:paraId="3A55E887" w14:textId="328E9D4A"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g)</w:t>
      </w:r>
      <w:r w:rsid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cobros o pagos en efectivo relacionados con instrumentos financieros derivados con fines de cobertura, cuya posición primaria cubierta sea considerada como parte de las actividades de inversión; esto de acuerdo con lo establecido en el párrafo 20.</w:t>
      </w:r>
    </w:p>
    <w:p w14:paraId="0CC66910"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14" w:anchor="iQ_11" w:history="1">
        <w:r w:rsidRPr="00DF13F9">
          <w:rPr>
            <w:rFonts w:ascii="Helvetica" w:eastAsia="Times New Roman" w:hAnsi="Helvetica"/>
            <w:color w:val="000000" w:themeColor="text1"/>
            <w:sz w:val="24"/>
            <w:szCs w:val="24"/>
            <w:u w:val="single"/>
            <w:lang w:eastAsia="es-MX"/>
          </w:rPr>
          <w:t>Inversiones en subsidiarias no consolidadas, asociadas y negocios conjunto</w:t>
        </w:r>
      </w:hyperlink>
      <w:r w:rsidRPr="00DF13F9">
        <w:rPr>
          <w:rFonts w:ascii="Helvetica" w:eastAsia="Times New Roman" w:hAnsi="Helvetica"/>
          <w:color w:val="000000" w:themeColor="text1"/>
          <w:sz w:val="24"/>
          <w:szCs w:val="24"/>
          <w:lang w:eastAsia="es-MX"/>
        </w:rPr>
        <w:t>s</w:t>
      </w:r>
    </w:p>
    <w:p w14:paraId="70CDB56B"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15" w:anchor="iQ_14" w:history="1">
        <w:r w:rsidRPr="00DF13F9">
          <w:rPr>
            <w:rFonts w:ascii="Helvetica" w:eastAsia="Times New Roman" w:hAnsi="Helvetica"/>
            <w:color w:val="000000" w:themeColor="text1"/>
            <w:sz w:val="24"/>
            <w:szCs w:val="24"/>
            <w:u w:val="single"/>
            <w:lang w:eastAsia="es-MX"/>
          </w:rPr>
          <w:t>Actividades de financiamiento</w:t>
        </w:r>
      </w:hyperlink>
    </w:p>
    <w:p w14:paraId="1EB5C3B5"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29</w:t>
      </w:r>
    </w:p>
    <w:p w14:paraId="3E21B7B8"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En esta sección se muestran los flujos de efectivo destinados a cubrir las necesidades de efectivo de la entidad como consecuencia de compromisos derivados de sus actividades de operación e inversión. Asimismo, también se muestra la capacidad de la entidad para restituir a sus acreedores financieros y a sus propietarios, los recursos que canalizaron en su momento a la entidad y, en su caso, para pagarles rendimientos.</w:t>
      </w:r>
    </w:p>
    <w:p w14:paraId="2AE862BA" w14:textId="77777777" w:rsidR="00DF13F9" w:rsidRDefault="00DF13F9" w:rsidP="00DF13F9">
      <w:pPr>
        <w:pStyle w:val="Subttulo"/>
        <w:ind w:left="284" w:hanging="284"/>
        <w:jc w:val="both"/>
        <w:rPr>
          <w:rFonts w:ascii="Helvetica" w:eastAsia="Times New Roman" w:hAnsi="Helvetica"/>
          <w:color w:val="000000" w:themeColor="text1"/>
          <w:sz w:val="24"/>
          <w:szCs w:val="24"/>
          <w:lang w:eastAsia="es-MX"/>
        </w:rPr>
      </w:pPr>
    </w:p>
    <w:p w14:paraId="6363525B" w14:textId="77777777" w:rsidR="00DF13F9" w:rsidRDefault="00DF13F9" w:rsidP="00DF13F9">
      <w:pPr>
        <w:pStyle w:val="Subttulo"/>
        <w:ind w:left="284" w:hanging="284"/>
        <w:jc w:val="both"/>
        <w:rPr>
          <w:rFonts w:ascii="Helvetica" w:eastAsia="Times New Roman" w:hAnsi="Helvetica"/>
          <w:color w:val="000000" w:themeColor="text1"/>
          <w:sz w:val="24"/>
          <w:szCs w:val="24"/>
          <w:lang w:eastAsia="es-MX"/>
        </w:rPr>
      </w:pPr>
    </w:p>
    <w:p w14:paraId="2E91D3D4" w14:textId="302054D6"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lastRenderedPageBreak/>
        <w:t>30</w:t>
      </w:r>
    </w:p>
    <w:p w14:paraId="2B783885"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Algunos ejemplos de flujos de efectivo por actividades de financiamiento son los siguientes:</w:t>
      </w:r>
    </w:p>
    <w:p w14:paraId="7B457448" w14:textId="722DD880"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a)</w:t>
      </w:r>
      <w:r w:rsid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cobros en efectivo procedentes de la emisión de acciones y otros instrumentos de capital de la propia entidad, netos de los gastos de emisión relativos;</w:t>
      </w:r>
    </w:p>
    <w:p w14:paraId="16AAB3F6" w14:textId="62822061"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b)</w:t>
      </w:r>
      <w:r w:rsid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pagos en efectivo a los propietarios por reembolsos de capital, pago de dividendos o recompra de acciones;</w:t>
      </w:r>
    </w:p>
    <w:p w14:paraId="3A3A02EC" w14:textId="4F90FBA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c)</w:t>
      </w:r>
      <w:r w:rsid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cobros en efectivo procedentes de la emisión, por parte de la entidad, de instrumentos de deuda (instrumentos financieros por pagar), en su caso, netos de los gastos de emisión; así como cobros en efectivo por la obtención de préstamos, ya sea a corto o a largo plazo;</w:t>
      </w:r>
    </w:p>
    <w:p w14:paraId="2A6C61E2" w14:textId="5D07AE41"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d)</w:t>
      </w:r>
      <w:r w:rsid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reembolsos en efectivo de los recursos tomados en préstamo descritos en el inciso anterior; y</w:t>
      </w:r>
    </w:p>
    <w:p w14:paraId="16C46FE1" w14:textId="54B952A2"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e)</w:t>
      </w:r>
      <w:r w:rsidR="00DF13F9">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pagos en efectivo realizados por la entidad como arrendataria para reducir la deuda pendiente de un arrendamiento capitalizable u otros financiamientos similares.</w:t>
      </w:r>
    </w:p>
    <w:p w14:paraId="0904CC61"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16" w:anchor="iQ_15" w:history="1">
        <w:r w:rsidRPr="00DF13F9">
          <w:rPr>
            <w:rFonts w:ascii="Helvetica" w:eastAsia="Times New Roman" w:hAnsi="Helvetica"/>
            <w:color w:val="000000" w:themeColor="text1"/>
            <w:sz w:val="24"/>
            <w:szCs w:val="24"/>
            <w:u w:val="single"/>
            <w:lang w:eastAsia="es-MX"/>
          </w:rPr>
          <w:t>Compra o venta de acciones de una subsidiaria a la participación no controladora</w:t>
        </w:r>
      </w:hyperlink>
    </w:p>
    <w:p w14:paraId="028C2100"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17" w:anchor="iQ_16" w:history="1">
        <w:r w:rsidRPr="00DF13F9">
          <w:rPr>
            <w:rFonts w:ascii="Helvetica" w:eastAsia="Times New Roman" w:hAnsi="Helvetica"/>
            <w:color w:val="000000" w:themeColor="text1"/>
            <w:sz w:val="24"/>
            <w:szCs w:val="24"/>
            <w:u w:val="single"/>
            <w:lang w:eastAsia="es-MX"/>
          </w:rPr>
          <w:t>Incremento o disminución neta de efectivo</w:t>
        </w:r>
      </w:hyperlink>
    </w:p>
    <w:p w14:paraId="54DABB57"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32</w:t>
      </w:r>
    </w:p>
    <w:p w14:paraId="6651D73D"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Después de clasificar los flujos de efectivo en actividades de operación, actividades de inversión y de financiamiento, deben presentarse los flujos de efectivo netos de estas tres secciones; este importe neto se denomina </w:t>
      </w:r>
      <w:r w:rsidRPr="00DF13F9">
        <w:rPr>
          <w:rFonts w:ascii="Helvetica" w:eastAsia="Times New Roman" w:hAnsi="Helvetica"/>
          <w:i/>
          <w:iCs/>
          <w:color w:val="000000" w:themeColor="text1"/>
          <w:sz w:val="24"/>
          <w:szCs w:val="24"/>
          <w:lang w:eastAsia="es-MX"/>
        </w:rPr>
        <w:t>incremento o disminución neta de efectivo y equivalentes de efectivo</w:t>
      </w:r>
      <w:r w:rsidRPr="00DF13F9">
        <w:rPr>
          <w:rFonts w:ascii="Helvetica" w:eastAsia="Times New Roman" w:hAnsi="Helvetica"/>
          <w:color w:val="000000" w:themeColor="text1"/>
          <w:sz w:val="24"/>
          <w:szCs w:val="24"/>
          <w:lang w:eastAsia="es-MX"/>
        </w:rPr>
        <w:t>. Cuando este importe es positivo, se denomina </w:t>
      </w:r>
      <w:r w:rsidRPr="00DF13F9">
        <w:rPr>
          <w:rFonts w:ascii="Helvetica" w:eastAsia="Times New Roman" w:hAnsi="Helvetica"/>
          <w:i/>
          <w:iCs/>
          <w:color w:val="000000" w:themeColor="text1"/>
          <w:sz w:val="24"/>
          <w:szCs w:val="24"/>
          <w:lang w:eastAsia="es-MX"/>
        </w:rPr>
        <w:t>incremento neto de efectivo y equivalentes de efectivo</w:t>
      </w:r>
      <w:r w:rsidRPr="00DF13F9">
        <w:rPr>
          <w:rFonts w:ascii="Helvetica" w:eastAsia="Times New Roman" w:hAnsi="Helvetica"/>
          <w:color w:val="000000" w:themeColor="text1"/>
          <w:sz w:val="24"/>
          <w:szCs w:val="24"/>
          <w:lang w:eastAsia="es-MX"/>
        </w:rPr>
        <w:t>; cuando es negativo, se denomina </w:t>
      </w:r>
      <w:r w:rsidRPr="00DF13F9">
        <w:rPr>
          <w:rFonts w:ascii="Helvetica" w:eastAsia="Times New Roman" w:hAnsi="Helvetica"/>
          <w:i/>
          <w:iCs/>
          <w:color w:val="000000" w:themeColor="text1"/>
          <w:sz w:val="24"/>
          <w:szCs w:val="24"/>
          <w:lang w:eastAsia="es-MX"/>
        </w:rPr>
        <w:t>disminución neta de efectivo y equivalentes de efectivo</w:t>
      </w:r>
      <w:r w:rsidRPr="00DF13F9">
        <w:rPr>
          <w:rFonts w:ascii="Helvetica" w:eastAsia="Times New Roman" w:hAnsi="Helvetica"/>
          <w:color w:val="000000" w:themeColor="text1"/>
          <w:sz w:val="24"/>
          <w:szCs w:val="24"/>
          <w:lang w:eastAsia="es-MX"/>
        </w:rPr>
        <w:t>.</w:t>
      </w:r>
    </w:p>
    <w:p w14:paraId="32247AB2"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18" w:anchor="iQ_18" w:history="1">
        <w:r w:rsidRPr="00DF13F9">
          <w:rPr>
            <w:rFonts w:ascii="Helvetica" w:eastAsia="Times New Roman" w:hAnsi="Helvetica"/>
            <w:color w:val="000000" w:themeColor="text1"/>
            <w:sz w:val="24"/>
            <w:szCs w:val="24"/>
            <w:u w:val="single"/>
            <w:lang w:eastAsia="es-MX"/>
          </w:rPr>
          <w:t>Efectivo al principio del periodo</w:t>
        </w:r>
      </w:hyperlink>
    </w:p>
    <w:p w14:paraId="3C83DC40"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35</w:t>
      </w:r>
    </w:p>
    <w:p w14:paraId="29A55812"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El rubro denominado </w:t>
      </w:r>
      <w:r w:rsidRPr="00DF13F9">
        <w:rPr>
          <w:rFonts w:ascii="Helvetica" w:eastAsia="Times New Roman" w:hAnsi="Helvetica"/>
          <w:i/>
          <w:iCs/>
          <w:color w:val="000000" w:themeColor="text1"/>
          <w:sz w:val="24"/>
          <w:szCs w:val="24"/>
          <w:lang w:eastAsia="es-MX"/>
        </w:rPr>
        <w:t>efectivo y equivalentes de efectivo al principio del periodo</w:t>
      </w:r>
      <w:r w:rsidRPr="00DF13F9">
        <w:rPr>
          <w:rFonts w:ascii="Helvetica" w:eastAsia="Times New Roman" w:hAnsi="Helvetica"/>
          <w:color w:val="000000" w:themeColor="text1"/>
          <w:sz w:val="24"/>
          <w:szCs w:val="24"/>
          <w:lang w:eastAsia="es-MX"/>
        </w:rPr>
        <w:t xml:space="preserve">corresponde al saldo de efectivo y equivalentes de efectivo presentado en el balance general del final del periodo anterior, el cual debe incluir el efectivo y equivalentes de efectivo, restringidos; el efectivo y equivalentes de efectivo al principio del periodo deben presentarse en un renglón específico dentro del estado de flujos de </w:t>
      </w:r>
      <w:r w:rsidRPr="00DF13F9">
        <w:rPr>
          <w:rFonts w:ascii="Helvetica" w:eastAsia="Times New Roman" w:hAnsi="Helvetica"/>
          <w:color w:val="000000" w:themeColor="text1"/>
          <w:sz w:val="24"/>
          <w:szCs w:val="24"/>
          <w:lang w:eastAsia="es-MX"/>
        </w:rPr>
        <w:lastRenderedPageBreak/>
        <w:t>efectivo para permitir la conciliación con el saldo de efectivo y equivalentes de efectivo al final del periodo actual.</w:t>
      </w:r>
    </w:p>
    <w:p w14:paraId="473075B1"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19" w:anchor="iQ_19" w:history="1">
        <w:r w:rsidRPr="00DF13F9">
          <w:rPr>
            <w:rFonts w:ascii="Helvetica" w:eastAsia="Times New Roman" w:hAnsi="Helvetica"/>
            <w:color w:val="000000" w:themeColor="text1"/>
            <w:sz w:val="24"/>
            <w:szCs w:val="24"/>
            <w:u w:val="single"/>
            <w:lang w:eastAsia="es-MX"/>
          </w:rPr>
          <w:t>Efectivo al final del periodo</w:t>
        </w:r>
      </w:hyperlink>
    </w:p>
    <w:p w14:paraId="291FE842"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36</w:t>
      </w:r>
    </w:p>
    <w:p w14:paraId="481E0777"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El rubro denominado </w:t>
      </w:r>
      <w:r w:rsidRPr="00DF13F9">
        <w:rPr>
          <w:rFonts w:ascii="Helvetica" w:eastAsia="Times New Roman" w:hAnsi="Helvetica"/>
          <w:i/>
          <w:iCs/>
          <w:color w:val="000000" w:themeColor="text1"/>
          <w:sz w:val="24"/>
          <w:szCs w:val="24"/>
          <w:lang w:eastAsia="es-MX"/>
        </w:rPr>
        <w:t>efectivo y equivalentes de efectivo al final del periodo</w:t>
      </w:r>
      <w:r w:rsidRPr="00DF13F9">
        <w:rPr>
          <w:rFonts w:ascii="Helvetica" w:eastAsia="Times New Roman" w:hAnsi="Helvetica"/>
          <w:color w:val="000000" w:themeColor="text1"/>
          <w:sz w:val="24"/>
          <w:szCs w:val="24"/>
          <w:lang w:eastAsia="es-MX"/>
        </w:rPr>
        <w:t>, dentro del estado de flujos de efectivo, debe determinarse por la suma algebraica de los rubros: a) </w:t>
      </w:r>
      <w:r w:rsidRPr="00DF13F9">
        <w:rPr>
          <w:rFonts w:ascii="Helvetica" w:eastAsia="Times New Roman" w:hAnsi="Helvetica"/>
          <w:i/>
          <w:iCs/>
          <w:color w:val="000000" w:themeColor="text1"/>
          <w:sz w:val="24"/>
          <w:szCs w:val="24"/>
          <w:lang w:eastAsia="es-MX"/>
        </w:rPr>
        <w:t>incremento o disminución neta de efectivo y equivalentes de efectivo</w:t>
      </w:r>
      <w:r w:rsidRPr="00DF13F9">
        <w:rPr>
          <w:rFonts w:ascii="Helvetica" w:eastAsia="Times New Roman" w:hAnsi="Helvetica"/>
          <w:color w:val="000000" w:themeColor="text1"/>
          <w:sz w:val="24"/>
          <w:szCs w:val="24"/>
          <w:lang w:eastAsia="es-MX"/>
        </w:rPr>
        <w:t>; b) </w:t>
      </w:r>
      <w:r w:rsidRPr="00DF13F9">
        <w:rPr>
          <w:rFonts w:ascii="Helvetica" w:eastAsia="Times New Roman" w:hAnsi="Helvetica"/>
          <w:i/>
          <w:iCs/>
          <w:color w:val="000000" w:themeColor="text1"/>
          <w:sz w:val="24"/>
          <w:szCs w:val="24"/>
          <w:lang w:eastAsia="es-MX"/>
        </w:rPr>
        <w:t>efectos por cambios en el valor del efectivo; </w:t>
      </w:r>
      <w:r w:rsidRPr="00DF13F9">
        <w:rPr>
          <w:rFonts w:ascii="Helvetica" w:eastAsia="Times New Roman" w:hAnsi="Helvetica"/>
          <w:color w:val="000000" w:themeColor="text1"/>
          <w:sz w:val="24"/>
          <w:szCs w:val="24"/>
          <w:lang w:eastAsia="es-MX"/>
        </w:rPr>
        <w:t>y c) </w:t>
      </w:r>
      <w:r w:rsidRPr="00DF13F9">
        <w:rPr>
          <w:rFonts w:ascii="Helvetica" w:eastAsia="Times New Roman" w:hAnsi="Helvetica"/>
          <w:i/>
          <w:iCs/>
          <w:color w:val="000000" w:themeColor="text1"/>
          <w:sz w:val="24"/>
          <w:szCs w:val="24"/>
          <w:lang w:eastAsia="es-MX"/>
        </w:rPr>
        <w:t>efectivo y equivalentes de efectivo al principio del periodo</w:t>
      </w:r>
      <w:r w:rsidRPr="00DF13F9">
        <w:rPr>
          <w:rFonts w:ascii="Helvetica" w:eastAsia="Times New Roman" w:hAnsi="Helvetica"/>
          <w:color w:val="000000" w:themeColor="text1"/>
          <w:sz w:val="24"/>
          <w:szCs w:val="24"/>
          <w:lang w:eastAsia="es-MX"/>
        </w:rPr>
        <w:t>; dicha suma debe corresponder al saldo del efectivo y equivalentes de efectivo presentado en el estado de posición financiera al final del periodo incluyendo el saldo del efectivo y equivalentes de efectivo, restringidos.</w:t>
      </w:r>
      <w:hyperlink r:id="rId20" w:anchor="fn11" w:history="1">
        <w:r w:rsidRPr="00DF13F9">
          <w:rPr>
            <w:rFonts w:ascii="Helvetica" w:eastAsia="Times New Roman" w:hAnsi="Helvetica"/>
            <w:color w:val="000000" w:themeColor="text1"/>
            <w:sz w:val="24"/>
            <w:szCs w:val="24"/>
            <w:u w:val="single"/>
            <w:vertAlign w:val="superscript"/>
            <w:lang w:eastAsia="es-MX"/>
          </w:rPr>
          <w:t>11</w:t>
        </w:r>
      </w:hyperlink>
    </w:p>
    <w:p w14:paraId="431131C1"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21" w:anchor="iQ_20" w:history="1">
        <w:r w:rsidRPr="00DF13F9">
          <w:rPr>
            <w:rFonts w:ascii="Helvetica" w:eastAsia="Times New Roman" w:hAnsi="Helvetica"/>
            <w:color w:val="000000" w:themeColor="text1"/>
            <w:sz w:val="24"/>
            <w:szCs w:val="24"/>
            <w:u w:val="single"/>
            <w:lang w:eastAsia="es-MX"/>
          </w:rPr>
          <w:t>Consideraciones adicionales</w:t>
        </w:r>
      </w:hyperlink>
    </w:p>
    <w:p w14:paraId="05AE8492"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22" w:anchor="iQ_21" w:history="1">
        <w:r w:rsidRPr="00DF13F9">
          <w:rPr>
            <w:rFonts w:ascii="Helvetica" w:eastAsia="Times New Roman" w:hAnsi="Helvetica"/>
            <w:color w:val="000000" w:themeColor="text1"/>
            <w:sz w:val="24"/>
            <w:szCs w:val="24"/>
            <w:u w:val="single"/>
            <w:lang w:eastAsia="es-MX"/>
          </w:rPr>
          <w:t>Intereses</w:t>
        </w:r>
      </w:hyperlink>
    </w:p>
    <w:p w14:paraId="13208525"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37</w:t>
      </w:r>
    </w:p>
    <w:p w14:paraId="61A0A771"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Los flujos de efectivo derivados de intereses cobrados deben presentarse en un rubro específico dentro del mismo grupo de actividades en el que se presentan los flujos de efectivo de la partida con la que están asociados. Por ejemplo, las entradas de flujos de efectivo por intereses de instrumentos financieros de negociación deben presentarse, al igual que dichos instrumentos, en actividades de operación; si los intereses se derivan de un instrumento clasificado como Instrumento Financiero para Cobrar o Vender (IFCV), el flujo de efectivo relativo debe presentarse en actividades de inversión.</w:t>
      </w:r>
    </w:p>
    <w:p w14:paraId="6B44936F"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38</w:t>
      </w:r>
    </w:p>
    <w:p w14:paraId="40D8ED0E"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Los intereses pagados, siempre que se trate de entidades no financieras, deben presentarse dentro de actividades de financiamiento debido a que representan los costos de haber obtenido recursos por parte de los acreedores financieros de la entidad; dichos intereses pagados deben incluir los intereses capitalizados en activos.</w:t>
      </w:r>
    </w:p>
    <w:p w14:paraId="5D0B02EF"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23" w:anchor="iQ_22" w:history="1">
        <w:r w:rsidRPr="00DF13F9">
          <w:rPr>
            <w:rFonts w:ascii="Helvetica" w:eastAsia="Times New Roman" w:hAnsi="Helvetica"/>
            <w:color w:val="000000" w:themeColor="text1"/>
            <w:sz w:val="24"/>
            <w:szCs w:val="24"/>
            <w:u w:val="single"/>
            <w:lang w:eastAsia="es-MX"/>
          </w:rPr>
          <w:t>Dividendos</w:t>
        </w:r>
      </w:hyperlink>
    </w:p>
    <w:p w14:paraId="0A7C644B"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39</w:t>
      </w:r>
    </w:p>
    <w:p w14:paraId="61204013"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 xml:space="preserve">Los flujos de efectivo derivados de dividendos cobrados deben presentarse en un rubro específico dentro del mismo grupo de actividades en el que se presentan los flujos de efectivo de la partida con la que están asociados. Por ejemplo: las entradas de flujos de efectivo por dividendos cobrados de instrumentos financieros de </w:t>
      </w:r>
      <w:r w:rsidRPr="00DF13F9">
        <w:rPr>
          <w:rFonts w:ascii="Helvetica" w:eastAsia="Times New Roman" w:hAnsi="Helvetica"/>
          <w:color w:val="000000" w:themeColor="text1"/>
          <w:sz w:val="24"/>
          <w:szCs w:val="24"/>
          <w:lang w:eastAsia="es-MX"/>
        </w:rPr>
        <w:lastRenderedPageBreak/>
        <w:t>negociación deben presentarse, al igual que dichos instrumentos, en actividades de operación; si los dividendos cobrados se derivan de una inversión permanente en una entidad asociada, dichos flujos de efectivo deben presentarse en actividades de inversión.</w:t>
      </w:r>
    </w:p>
    <w:p w14:paraId="2D4706E6"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40</w:t>
      </w:r>
    </w:p>
    <w:p w14:paraId="18E071E9"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Las salidas de efectivo por dividendos pagados deben presentarse en actividades de financiamiento debido a que representan la retribución a los propietarios de una entidad por los recursos obtenidos de su parte.</w:t>
      </w:r>
    </w:p>
    <w:p w14:paraId="04C5703E"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24" w:anchor="Q_7" w:history="1">
        <w:r w:rsidRPr="00DF13F9">
          <w:rPr>
            <w:rFonts w:ascii="Helvetica" w:eastAsia="Times New Roman" w:hAnsi="Helvetica"/>
            <w:color w:val="000000" w:themeColor="text1"/>
            <w:sz w:val="24"/>
            <w:szCs w:val="24"/>
            <w:u w:val="single"/>
            <w:lang w:eastAsia="es-MX"/>
          </w:rPr>
          <w:t>PROCEDIMIENTO PARA ELABORAR EL ESTADO DE FLUJOS DE EFECTIVO</w:t>
        </w:r>
      </w:hyperlink>
    </w:p>
    <w:p w14:paraId="256FBD83"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25" w:anchor="iQ_23" w:history="1">
        <w:r w:rsidRPr="00DF13F9">
          <w:rPr>
            <w:rFonts w:ascii="Helvetica" w:eastAsia="Times New Roman" w:hAnsi="Helvetica"/>
            <w:color w:val="000000" w:themeColor="text1"/>
            <w:sz w:val="24"/>
            <w:szCs w:val="24"/>
            <w:u w:val="single"/>
            <w:lang w:eastAsia="es-MX"/>
          </w:rPr>
          <w:t>Actividades de operación</w:t>
        </w:r>
      </w:hyperlink>
    </w:p>
    <w:p w14:paraId="4AC60CE7"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43</w:t>
      </w:r>
    </w:p>
    <w:p w14:paraId="2AE9CA3E"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La entidad debe determinar y presentar los flujos de efectivo de las actividades de operación usando uno de los dos métodos siguientes:</w:t>
      </w:r>
    </w:p>
    <w:p w14:paraId="3B918215" w14:textId="7EF7424F" w:rsidR="00545B38" w:rsidRPr="00DF13F9" w:rsidRDefault="00545B38" w:rsidP="00D36C7C">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a)</w:t>
      </w:r>
      <w:r w:rsidR="00D36C7C">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método directo – según el cual deben presentarse por separado las principales categorías de cobros y pagos en términos brutos;</w:t>
      </w:r>
    </w:p>
    <w:p w14:paraId="7CE26637" w14:textId="1D8B1798" w:rsidR="00545B38" w:rsidRPr="00DF13F9" w:rsidRDefault="00545B38" w:rsidP="00D36C7C">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b)</w:t>
      </w:r>
      <w:r w:rsidR="00D36C7C">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método indirecto – según el cual, preferentemente, se presenta en primer lugar la utilidad o pérdida antes de impuestos a la utilidad o, en su caso, el cambio neto en el patrimonio contable; dicho importe se ajusta por los efectos de operaciones de periodos anteriores cobradas o pagadas en el periodo actual y, por operaciones del periodo actual de cobro o pago diferido hacia el futuro; asimismo, se ajusta por operaciones y que están asociadas con las actividades de inversión o de financiamiento.</w:t>
      </w:r>
    </w:p>
    <w:p w14:paraId="1478467E"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26" w:anchor="iQ_24" w:history="1">
        <w:r w:rsidRPr="00DF13F9">
          <w:rPr>
            <w:rFonts w:ascii="Helvetica" w:eastAsia="Times New Roman" w:hAnsi="Helvetica"/>
            <w:color w:val="000000" w:themeColor="text1"/>
            <w:sz w:val="24"/>
            <w:szCs w:val="24"/>
            <w:u w:val="single"/>
            <w:lang w:eastAsia="es-MX"/>
          </w:rPr>
          <w:t>Método directo</w:t>
        </w:r>
      </w:hyperlink>
    </w:p>
    <w:p w14:paraId="653502A6"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44</w:t>
      </w:r>
    </w:p>
    <w:p w14:paraId="3DB380F5"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En este método, la determinación de los flujos de efectivo de actividades de operación debe hacerse con cualquiera de los procedimientos siguientes:</w:t>
      </w:r>
    </w:p>
    <w:p w14:paraId="4E1DCA3A" w14:textId="49B5388A" w:rsidR="00545B38" w:rsidRPr="00DF13F9" w:rsidRDefault="00545B38" w:rsidP="00D36C7C">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a)</w:t>
      </w:r>
      <w:r w:rsidR="00D36C7C">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utilizando directamente los registros contables de la entidad respecto de las partidas que se afectaron por entradas o por salidas de efectivo; o</w:t>
      </w:r>
    </w:p>
    <w:p w14:paraId="3020E001" w14:textId="60B234A5" w:rsidR="00545B38" w:rsidRPr="00DF13F9" w:rsidRDefault="00545B38" w:rsidP="00D36C7C">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b)</w:t>
      </w:r>
      <w:r w:rsidR="00D36C7C">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modificando cada uno de los rubros del estado de resultado integral o del estado de actividades por:</w:t>
      </w:r>
    </w:p>
    <w:p w14:paraId="0ACCCA46" w14:textId="58FF8B21" w:rsidR="00545B38" w:rsidRPr="00DF13F9" w:rsidRDefault="00545B38" w:rsidP="00D36C7C">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i.</w:t>
      </w:r>
      <w:r w:rsidR="00D36C7C">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los cambios habidos durante el periodo en las cuentas por cobrar, en las cuentas por pagar y en los inventarios, derivados de las actividades de operación;</w:t>
      </w:r>
    </w:p>
    <w:p w14:paraId="47D0871F" w14:textId="5E8963B4" w:rsidR="00545B38" w:rsidRPr="00DF13F9" w:rsidRDefault="00545B38" w:rsidP="00D36C7C">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lastRenderedPageBreak/>
        <w:t>ii.otras partidas sin reflejo en el efectivo y equivalentes de efectivo; y</w:t>
      </w:r>
    </w:p>
    <w:p w14:paraId="1AC740CE" w14:textId="57C2CDC0" w:rsidR="00545B38" w:rsidRPr="00DF13F9" w:rsidRDefault="00545B38" w:rsidP="00D36C7C">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iii.otras partidas que se eliminan por considerarse flujos de efectivo de inversión o de financiamiento.</w:t>
      </w:r>
    </w:p>
    <w:p w14:paraId="6FFBCB04"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27" w:anchor="iQ_25" w:history="1">
        <w:r w:rsidRPr="00DF13F9">
          <w:rPr>
            <w:rFonts w:ascii="Helvetica" w:eastAsia="Times New Roman" w:hAnsi="Helvetica"/>
            <w:color w:val="000000" w:themeColor="text1"/>
            <w:sz w:val="24"/>
            <w:szCs w:val="24"/>
            <w:u w:val="single"/>
            <w:lang w:eastAsia="es-MX"/>
          </w:rPr>
          <w:t>Método indirecto</w:t>
        </w:r>
      </w:hyperlink>
    </w:p>
    <w:p w14:paraId="29A84720"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48</w:t>
      </w:r>
    </w:p>
    <w:p w14:paraId="37BD550B"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En el método indirecto, los flujos de efectivo de las actividades de operación deben determinarse partiendo, preferentemente, de la utilidad o pérdida antes de impuestos a la utilidad o, en su caso, del cambio neto en el patrimonio contable; dicho importe se aumenta o disminuye por los efectos de:</w:t>
      </w:r>
    </w:p>
    <w:p w14:paraId="08B75154" w14:textId="675C2506" w:rsidR="00545B38" w:rsidRPr="00DF13F9" w:rsidRDefault="00545B38" w:rsidP="00D36C7C">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a)partidas que se consideran asociadas con:</w:t>
      </w:r>
    </w:p>
    <w:p w14:paraId="52ABF7AB" w14:textId="489D0048" w:rsidR="00545B38" w:rsidRPr="00DF13F9" w:rsidRDefault="00545B38" w:rsidP="00D36C7C">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i.</w:t>
      </w:r>
      <w:r w:rsidR="00D36C7C">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actividades de inversión; por ejemplo, la depreciación y la utilidad o pérdida en la venta de propiedades, planta y equipo; la amortización de activos intangibles; la pérdida por deterioro de activos de larga duración; así como la participación en asociadas y en negocios conjuntos;</w:t>
      </w:r>
    </w:p>
    <w:p w14:paraId="562E0B47" w14:textId="6314CA3A" w:rsidR="00545B38" w:rsidRPr="00DF13F9" w:rsidRDefault="00545B38" w:rsidP="00D36C7C">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ii.</w:t>
      </w:r>
      <w:r w:rsidR="00D36C7C">
        <w:rPr>
          <w:rFonts w:ascii="Helvetica" w:eastAsia="Times New Roman" w:hAnsi="Helvetica"/>
          <w:color w:val="000000" w:themeColor="text1"/>
          <w:sz w:val="24"/>
          <w:szCs w:val="24"/>
          <w:lang w:eastAsia="es-MX"/>
        </w:rPr>
        <w:tab/>
      </w:r>
      <w:r w:rsidRPr="00DF13F9">
        <w:rPr>
          <w:rFonts w:ascii="Helvetica" w:eastAsia="Times New Roman" w:hAnsi="Helvetica"/>
          <w:color w:val="000000" w:themeColor="text1"/>
          <w:sz w:val="24"/>
          <w:szCs w:val="24"/>
          <w:lang w:eastAsia="es-MX"/>
        </w:rPr>
        <w:t>actividades de financiamiento; por ejemplo, los intereses a cargo sobre un préstamo bancario y las ganancias o pérdidas en extinción de pasivos;</w:t>
      </w:r>
    </w:p>
    <w:p w14:paraId="4FA04092" w14:textId="2626E517" w:rsidR="00545B38" w:rsidRPr="00DF13F9" w:rsidRDefault="00545B38" w:rsidP="00D36C7C">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b)</w:t>
      </w:r>
      <w:r w:rsidR="007133F3">
        <w:rPr>
          <w:rFonts w:ascii="Helvetica" w:eastAsia="Times New Roman" w:hAnsi="Helvetica"/>
          <w:color w:val="000000" w:themeColor="text1"/>
          <w:sz w:val="24"/>
          <w:szCs w:val="24"/>
          <w:lang w:eastAsia="es-MX"/>
        </w:rPr>
        <w:t xml:space="preserve"> </w:t>
      </w:r>
      <w:r w:rsidRPr="00DF13F9">
        <w:rPr>
          <w:rFonts w:ascii="Helvetica" w:eastAsia="Times New Roman" w:hAnsi="Helvetica"/>
          <w:color w:val="000000" w:themeColor="text1"/>
          <w:sz w:val="24"/>
          <w:szCs w:val="24"/>
          <w:lang w:eastAsia="es-MX"/>
        </w:rPr>
        <w:t>cambios habidos durante el periodo en los rubros, de corto o largo plazo, que forman parte del capital de trabajo de la entidad; tales como: inventarios, cuentas por cobrar y cuentas por pagar.</w:t>
      </w:r>
    </w:p>
    <w:p w14:paraId="2CAC1D8A"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hyperlink r:id="rId28" w:anchor="iQ_26" w:history="1">
        <w:r w:rsidRPr="00DF13F9">
          <w:rPr>
            <w:rFonts w:ascii="Helvetica" w:eastAsia="Times New Roman" w:hAnsi="Helvetica"/>
            <w:color w:val="000000" w:themeColor="text1"/>
            <w:sz w:val="24"/>
            <w:szCs w:val="24"/>
            <w:u w:val="single"/>
            <w:lang w:eastAsia="es-MX"/>
          </w:rPr>
          <w:t>Actividades de inversión y de financiamiento</w:t>
        </w:r>
      </w:hyperlink>
    </w:p>
    <w:p w14:paraId="61F5F6F8" w14:textId="77777777" w:rsidR="00545B38" w:rsidRPr="00DF13F9"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50</w:t>
      </w:r>
    </w:p>
    <w:p w14:paraId="200067DE" w14:textId="32143E27" w:rsidR="00545B38" w:rsidRDefault="00545B38" w:rsidP="00DF13F9">
      <w:pPr>
        <w:pStyle w:val="Subttulo"/>
        <w:ind w:left="284" w:hanging="284"/>
        <w:jc w:val="both"/>
        <w:rPr>
          <w:rFonts w:ascii="Helvetica" w:eastAsia="Times New Roman" w:hAnsi="Helvetica"/>
          <w:color w:val="000000" w:themeColor="text1"/>
          <w:sz w:val="24"/>
          <w:szCs w:val="24"/>
          <w:lang w:eastAsia="es-MX"/>
        </w:rPr>
      </w:pPr>
      <w:r w:rsidRPr="00DF13F9">
        <w:rPr>
          <w:rFonts w:ascii="Helvetica" w:eastAsia="Times New Roman" w:hAnsi="Helvetica"/>
          <w:color w:val="000000" w:themeColor="text1"/>
          <w:sz w:val="24"/>
          <w:szCs w:val="24"/>
          <w:lang w:eastAsia="es-MX"/>
        </w:rPr>
        <w:t>La entidad debe determinar y presentar por separado, después de actividades de operación, los flujos de efectivo derivados de las principales categorías de cobros y pagos brutos relacionados con las actividades de inversión y financiamiento, salvo en los casos previstos en el párrafo 16, por los cuales se permite presentar el movimiento neto.</w:t>
      </w:r>
    </w:p>
    <w:p w14:paraId="4DA12054" w14:textId="39621F44" w:rsidR="00AC2D21" w:rsidRDefault="00AC2D21" w:rsidP="00AC2D21">
      <w:pPr>
        <w:rPr>
          <w:lang w:eastAsia="es-MX"/>
        </w:rPr>
      </w:pPr>
    </w:p>
    <w:p w14:paraId="04564B00" w14:textId="7D87E390" w:rsidR="00AC2D21" w:rsidRDefault="00AC2D21" w:rsidP="00AC2D21">
      <w:pPr>
        <w:rPr>
          <w:lang w:eastAsia="es-MX"/>
        </w:rPr>
      </w:pPr>
    </w:p>
    <w:p w14:paraId="6131FDBA" w14:textId="55DFB07F" w:rsidR="00AC2D21" w:rsidRDefault="00AC2D21" w:rsidP="00AC2D21">
      <w:pPr>
        <w:rPr>
          <w:lang w:eastAsia="es-MX"/>
        </w:rPr>
      </w:pPr>
    </w:p>
    <w:p w14:paraId="0182CF82" w14:textId="125F59C3" w:rsidR="00AC2D21" w:rsidRDefault="00AC2D21" w:rsidP="00AC2D21">
      <w:pPr>
        <w:rPr>
          <w:lang w:eastAsia="es-MX"/>
        </w:rPr>
      </w:pPr>
    </w:p>
    <w:p w14:paraId="6F0355C5" w14:textId="6DFE5A4A" w:rsidR="00AC2D21" w:rsidRDefault="00AC2D21" w:rsidP="00AC2D21">
      <w:pPr>
        <w:rPr>
          <w:lang w:eastAsia="es-MX"/>
        </w:rPr>
      </w:pPr>
    </w:p>
    <w:p w14:paraId="51DACAE2" w14:textId="51A61FA2" w:rsidR="00AC2D21" w:rsidRDefault="00AC2D21" w:rsidP="00AC2D21">
      <w:pPr>
        <w:rPr>
          <w:lang w:eastAsia="es-MX"/>
        </w:rPr>
      </w:pPr>
    </w:p>
    <w:p w14:paraId="6D187A64" w14:textId="5F1C47C9" w:rsidR="00AC2D21" w:rsidRDefault="00AC2D21" w:rsidP="00AC2D21">
      <w:pPr>
        <w:rPr>
          <w:lang w:eastAsia="es-MX"/>
        </w:rPr>
      </w:pPr>
    </w:p>
    <w:p w14:paraId="5AFAD4CB" w14:textId="63C2435D" w:rsidR="00AC2D21" w:rsidRDefault="00AC2D21" w:rsidP="00AC2D21">
      <w:pPr>
        <w:rPr>
          <w:lang w:eastAsia="es-MX"/>
        </w:rPr>
      </w:pPr>
    </w:p>
    <w:p w14:paraId="2E9F3BE6" w14:textId="2DC9BCB9" w:rsidR="00AC2D21" w:rsidRDefault="00AC2D21" w:rsidP="00AC2D21">
      <w:pPr>
        <w:rPr>
          <w:lang w:eastAsia="es-MX"/>
        </w:rPr>
      </w:pPr>
    </w:p>
    <w:p w14:paraId="291F2070" w14:textId="77777777" w:rsidR="00AC2D21" w:rsidRPr="00AC2D21" w:rsidRDefault="00AC2D21" w:rsidP="00AC2D21">
      <w:pPr>
        <w:pBdr>
          <w:bottom w:val="single" w:sz="6" w:space="0" w:color="000000"/>
        </w:pBdr>
        <w:spacing w:before="240" w:line="480" w:lineRule="auto"/>
        <w:rPr>
          <w:rFonts w:ascii="Helvetica" w:eastAsia="Times New Roman" w:hAnsi="Helvetica" w:cs="Arial"/>
          <w:b/>
          <w:bCs/>
          <w:color w:val="000000"/>
          <w:sz w:val="22"/>
          <w:szCs w:val="22"/>
          <w:lang w:eastAsia="es-MX"/>
        </w:rPr>
      </w:pPr>
      <w:hyperlink r:id="rId29" w:anchor="Q_11" w:history="1">
        <w:r w:rsidRPr="00AC2D21">
          <w:rPr>
            <w:rFonts w:ascii="Helvetica" w:eastAsia="Times New Roman" w:hAnsi="Helvetica" w:cs="Arial"/>
            <w:b/>
            <w:bCs/>
            <w:color w:val="000000"/>
            <w:sz w:val="22"/>
            <w:szCs w:val="22"/>
            <w:u w:val="single"/>
            <w:lang w:eastAsia="es-MX"/>
          </w:rPr>
          <w:t>APÉNDICE A – Caso práctico de determinación del estado de flujos de efectivo</w:t>
        </w:r>
      </w:hyperlink>
    </w:p>
    <w:p w14:paraId="2A2C303F" w14:textId="77777777" w:rsidR="00AC2D21" w:rsidRPr="00AC2D21" w:rsidRDefault="00AC2D21" w:rsidP="00AC2D21">
      <w:pPr>
        <w:spacing w:before="240" w:line="480" w:lineRule="auto"/>
        <w:ind w:left="1200"/>
        <w:jc w:val="both"/>
        <w:rPr>
          <w:rFonts w:ascii="Helvetica" w:eastAsia="Times New Roman" w:hAnsi="Helvetica" w:cs="Arial"/>
          <w:b/>
          <w:bCs/>
          <w:color w:val="000000"/>
          <w:sz w:val="22"/>
          <w:szCs w:val="22"/>
          <w:lang w:eastAsia="es-MX"/>
        </w:rPr>
      </w:pPr>
      <w:hyperlink r:id="rId30" w:anchor="iQ_30" w:history="1">
        <w:r w:rsidRPr="00AC2D21">
          <w:rPr>
            <w:rFonts w:ascii="Helvetica" w:eastAsia="Times New Roman" w:hAnsi="Helvetica" w:cs="Arial"/>
            <w:b/>
            <w:bCs/>
            <w:color w:val="000000"/>
            <w:sz w:val="22"/>
            <w:szCs w:val="22"/>
            <w:u w:val="single"/>
            <w:lang w:eastAsia="es-MX"/>
          </w:rPr>
          <w:t>Planteamiento del caso práctico</w:t>
        </w:r>
      </w:hyperlink>
    </w:p>
    <w:p w14:paraId="7C43A644"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A continuación se ejemplifica la determinación del estado de flujos de efectivo tanto por el método directo, como por el método indirecto. La determinación de ambos estados se lleva a cabo partiendo de los estados financieros de la entidad.</w:t>
      </w:r>
    </w:p>
    <w:p w14:paraId="4A4E868C"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Para este desarrollo se proporciona la siguiente información respecto a la entidad “La Comercial”, S.A. de C.V. por el periodo correspondiente del 1° de enero al 31 de diciembre del año X2:</w:t>
      </w:r>
    </w:p>
    <w:p w14:paraId="418C8ED6"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1</w:t>
      </w:r>
      <w:r w:rsidRPr="00AC2D21">
        <w:rPr>
          <w:rFonts w:ascii="Helvetica" w:eastAsia="Times New Roman" w:hAnsi="Helvetica" w:cs="Arial"/>
          <w:b/>
          <w:bCs/>
          <w:color w:val="000000"/>
          <w:sz w:val="22"/>
          <w:szCs w:val="22"/>
          <w:lang w:eastAsia="es-MX"/>
        </w:rPr>
        <w:t>.</w:t>
      </w:r>
    </w:p>
    <w:p w14:paraId="485089C0"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Impuestos a la utilidad</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En el periodo ascendieron a $300 los cuales no se pagaron. Sin embargo, del saldo inicial de dicho concepto por $1,000, se pagaron en el periodo $900.</w:t>
      </w:r>
    </w:p>
    <w:p w14:paraId="54C154B4"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2</w:t>
      </w:r>
      <w:r w:rsidRPr="00AC2D21">
        <w:rPr>
          <w:rFonts w:ascii="Helvetica" w:eastAsia="Times New Roman" w:hAnsi="Helvetica" w:cs="Arial"/>
          <w:b/>
          <w:bCs/>
          <w:color w:val="000000"/>
          <w:sz w:val="22"/>
          <w:szCs w:val="22"/>
          <w:lang w:eastAsia="es-MX"/>
        </w:rPr>
        <w:t>.</w:t>
      </w:r>
    </w:p>
    <w:p w14:paraId="17DB61F2"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Fluctuaciones cambiarias</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El total de $40 corresponde a un saldo en la cartera de clientes.</w:t>
      </w:r>
    </w:p>
    <w:p w14:paraId="5649519C"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3</w:t>
      </w:r>
      <w:r w:rsidRPr="00AC2D21">
        <w:rPr>
          <w:rFonts w:ascii="Helvetica" w:eastAsia="Times New Roman" w:hAnsi="Helvetica" w:cs="Arial"/>
          <w:b/>
          <w:bCs/>
          <w:color w:val="000000"/>
          <w:sz w:val="22"/>
          <w:szCs w:val="22"/>
          <w:lang w:eastAsia="es-MX"/>
        </w:rPr>
        <w:t>.</w:t>
      </w:r>
    </w:p>
    <w:p w14:paraId="55CCBF90"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Depreciación del ejercicio</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En el periodo ascendió a $450.</w:t>
      </w:r>
    </w:p>
    <w:p w14:paraId="2ADDD4C0"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4</w:t>
      </w:r>
      <w:r w:rsidRPr="00AC2D21">
        <w:rPr>
          <w:rFonts w:ascii="Helvetica" w:eastAsia="Times New Roman" w:hAnsi="Helvetica" w:cs="Arial"/>
          <w:b/>
          <w:bCs/>
          <w:color w:val="000000"/>
          <w:sz w:val="22"/>
          <w:szCs w:val="22"/>
          <w:lang w:eastAsia="es-MX"/>
        </w:rPr>
        <w:t>.</w:t>
      </w:r>
    </w:p>
    <w:p w14:paraId="1B3790A2"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Venta de propiedades, planta y equipo</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xml:space="preserve"> Se vendió en efectivo una máquina en $30, la cual tenía un costo de adquisición de $80 y una depreciación acumulada de </w:t>
      </w:r>
      <w:r w:rsidRPr="00AC2D21">
        <w:rPr>
          <w:rFonts w:ascii="Helvetica" w:eastAsia="Times New Roman" w:hAnsi="Helvetica" w:cs="Arial"/>
          <w:color w:val="000000"/>
          <w:sz w:val="22"/>
          <w:szCs w:val="22"/>
          <w:lang w:eastAsia="es-MX"/>
        </w:rPr>
        <w:lastRenderedPageBreak/>
        <w:t>$60. Por lo anterior, se generó una ganancia de $10, la cual se encuentra reconocida en el estado de resultado integral en el renglón de otros ingresos y gastos.</w:t>
      </w:r>
    </w:p>
    <w:p w14:paraId="3DB46A3F"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5</w:t>
      </w:r>
      <w:r w:rsidRPr="00AC2D21">
        <w:rPr>
          <w:rFonts w:ascii="Helvetica" w:eastAsia="Times New Roman" w:hAnsi="Helvetica" w:cs="Arial"/>
          <w:b/>
          <w:bCs/>
          <w:color w:val="000000"/>
          <w:sz w:val="22"/>
          <w:szCs w:val="22"/>
          <w:lang w:eastAsia="es-MX"/>
        </w:rPr>
        <w:t>.</w:t>
      </w:r>
    </w:p>
    <w:p w14:paraId="4D5CD318"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Intereses a favor</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devengaron y se cobraron intereses en su totalidad por $50 derivados de un instrumento financiero disponible para la venta.</w:t>
      </w:r>
    </w:p>
    <w:p w14:paraId="7D1B223F"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6</w:t>
      </w:r>
      <w:r w:rsidRPr="00AC2D21">
        <w:rPr>
          <w:rFonts w:ascii="Helvetica" w:eastAsia="Times New Roman" w:hAnsi="Helvetica" w:cs="Arial"/>
          <w:b/>
          <w:bCs/>
          <w:color w:val="000000"/>
          <w:sz w:val="22"/>
          <w:szCs w:val="22"/>
          <w:lang w:eastAsia="es-MX"/>
        </w:rPr>
        <w:t>.</w:t>
      </w:r>
    </w:p>
    <w:p w14:paraId="14FDC59F"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Dividendos cobrados</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cobraron dividendos en efectivo por $100, los cuales están reconocidos en el estado de resultado integral debido a que provienen de una inversión permanente en la cual no se tiene control ni influencia significativa.</w:t>
      </w:r>
    </w:p>
    <w:p w14:paraId="66932C9E"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7</w:t>
      </w:r>
      <w:r w:rsidRPr="00AC2D21">
        <w:rPr>
          <w:rFonts w:ascii="Helvetica" w:eastAsia="Times New Roman" w:hAnsi="Helvetica" w:cs="Arial"/>
          <w:b/>
          <w:bCs/>
          <w:color w:val="000000"/>
          <w:sz w:val="22"/>
          <w:szCs w:val="22"/>
          <w:lang w:eastAsia="es-MX"/>
        </w:rPr>
        <w:t>.</w:t>
      </w:r>
    </w:p>
    <w:p w14:paraId="37238AA8"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Intereses a cargo</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Los intereses a cargo devengados en el periodo fueron de $400, de los cuales, $170 se pagaron durante el periodo; asimismo, se pagaron $100 correspondientes al periodo anterior. El pago total en efectivo fue de $270.</w:t>
      </w:r>
    </w:p>
    <w:p w14:paraId="698B2007"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8</w:t>
      </w:r>
      <w:r w:rsidRPr="00AC2D21">
        <w:rPr>
          <w:rFonts w:ascii="Helvetica" w:eastAsia="Times New Roman" w:hAnsi="Helvetica" w:cs="Arial"/>
          <w:b/>
          <w:bCs/>
          <w:color w:val="000000"/>
          <w:sz w:val="22"/>
          <w:szCs w:val="22"/>
          <w:lang w:eastAsia="es-MX"/>
        </w:rPr>
        <w:t>.</w:t>
      </w:r>
    </w:p>
    <w:p w14:paraId="195893F2" w14:textId="77777777" w:rsidR="00AC2D21" w:rsidRPr="00AC2D21" w:rsidRDefault="00AC2D21" w:rsidP="00AC2D21">
      <w:pPr>
        <w:spacing w:after="288"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Adquisición de un negocio</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adquirió la subsidiaria “X” pagando en efectivo un total de $690; el valor razonable de los activos y pasivos adquiridos a la fecha de adquisición, es el siguiente:</w:t>
      </w:r>
    </w:p>
    <w:tbl>
      <w:tblPr>
        <w:tblW w:w="8393" w:type="dxa"/>
        <w:tblCellMar>
          <w:top w:w="15" w:type="dxa"/>
          <w:left w:w="15" w:type="dxa"/>
          <w:bottom w:w="15" w:type="dxa"/>
          <w:right w:w="15" w:type="dxa"/>
        </w:tblCellMar>
        <w:tblLook w:val="04A0" w:firstRow="1" w:lastRow="0" w:firstColumn="1" w:lastColumn="0" w:noHBand="0" w:noVBand="1"/>
      </w:tblPr>
      <w:tblGrid>
        <w:gridCol w:w="3969"/>
        <w:gridCol w:w="2212"/>
        <w:gridCol w:w="2212"/>
      </w:tblGrid>
      <w:tr w:rsidR="00AC2D21" w:rsidRPr="00AC2D21" w14:paraId="4CA9783C" w14:textId="77777777" w:rsidTr="00AC2D21">
        <w:trPr>
          <w:trHeight w:val="336"/>
        </w:trPr>
        <w:tc>
          <w:tcPr>
            <w:tcW w:w="3969" w:type="dxa"/>
            <w:tcMar>
              <w:top w:w="24" w:type="dxa"/>
              <w:left w:w="120" w:type="dxa"/>
              <w:bottom w:w="24" w:type="dxa"/>
              <w:right w:w="120" w:type="dxa"/>
            </w:tcMar>
            <w:hideMark/>
          </w:tcPr>
          <w:p w14:paraId="763077DD" w14:textId="77777777" w:rsidR="00AC2D21" w:rsidRPr="00AC2D21" w:rsidRDefault="00AC2D21" w:rsidP="00AC2D21">
            <w:pPr>
              <w:spacing w:line="480" w:lineRule="auto"/>
              <w:rPr>
                <w:rFonts w:ascii="Helvetica" w:eastAsia="Times New Roman" w:hAnsi="Helvetica" w:cs="Arial"/>
                <w:b/>
                <w:bCs/>
                <w:sz w:val="22"/>
                <w:szCs w:val="22"/>
                <w:lang w:eastAsia="es-MX"/>
              </w:rPr>
            </w:pPr>
            <w:r w:rsidRPr="00AC2D21">
              <w:rPr>
                <w:rFonts w:ascii="Helvetica" w:eastAsia="Times New Roman" w:hAnsi="Helvetica" w:cs="Arial"/>
                <w:b/>
                <w:bCs/>
                <w:sz w:val="22"/>
                <w:szCs w:val="22"/>
                <w:lang w:eastAsia="es-MX"/>
              </w:rPr>
              <w:t>Activos</w:t>
            </w:r>
          </w:p>
        </w:tc>
        <w:tc>
          <w:tcPr>
            <w:tcW w:w="2212" w:type="dxa"/>
            <w:tcMar>
              <w:top w:w="24" w:type="dxa"/>
              <w:left w:w="120" w:type="dxa"/>
              <w:bottom w:w="24" w:type="dxa"/>
              <w:right w:w="120" w:type="dxa"/>
            </w:tcMar>
            <w:hideMark/>
          </w:tcPr>
          <w:p w14:paraId="3C734808" w14:textId="77777777" w:rsidR="00AC2D21" w:rsidRPr="00AC2D21" w:rsidRDefault="00AC2D21" w:rsidP="00AC2D21">
            <w:pPr>
              <w:spacing w:line="480" w:lineRule="auto"/>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 </w:t>
            </w:r>
          </w:p>
        </w:tc>
        <w:tc>
          <w:tcPr>
            <w:tcW w:w="2212" w:type="dxa"/>
            <w:tcMar>
              <w:top w:w="24" w:type="dxa"/>
              <w:left w:w="120" w:type="dxa"/>
              <w:bottom w:w="24" w:type="dxa"/>
              <w:right w:w="120" w:type="dxa"/>
            </w:tcMar>
            <w:hideMark/>
          </w:tcPr>
          <w:p w14:paraId="2D9F205E" w14:textId="77777777" w:rsidR="00AC2D21" w:rsidRPr="00AC2D21" w:rsidRDefault="00AC2D21" w:rsidP="00AC2D21">
            <w:pPr>
              <w:spacing w:line="480" w:lineRule="auto"/>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 </w:t>
            </w:r>
          </w:p>
        </w:tc>
      </w:tr>
      <w:tr w:rsidR="00AC2D21" w:rsidRPr="00AC2D21" w14:paraId="70A6F746" w14:textId="77777777" w:rsidTr="00AC2D21">
        <w:trPr>
          <w:trHeight w:val="336"/>
        </w:trPr>
        <w:tc>
          <w:tcPr>
            <w:tcW w:w="3969" w:type="dxa"/>
            <w:tcMar>
              <w:top w:w="24" w:type="dxa"/>
              <w:left w:w="120" w:type="dxa"/>
              <w:bottom w:w="24" w:type="dxa"/>
              <w:right w:w="120" w:type="dxa"/>
            </w:tcMar>
            <w:hideMark/>
          </w:tcPr>
          <w:p w14:paraId="1C767795" w14:textId="77777777" w:rsidR="00AC2D21" w:rsidRPr="00AC2D21" w:rsidRDefault="00AC2D21" w:rsidP="00AC2D21">
            <w:pPr>
              <w:spacing w:line="480" w:lineRule="auto"/>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Efectivo y equivalentes de efectivo</w:t>
            </w:r>
          </w:p>
        </w:tc>
        <w:tc>
          <w:tcPr>
            <w:tcW w:w="0" w:type="auto"/>
            <w:tcMar>
              <w:top w:w="24" w:type="dxa"/>
              <w:left w:w="120" w:type="dxa"/>
              <w:bottom w:w="24" w:type="dxa"/>
              <w:right w:w="120" w:type="dxa"/>
            </w:tcMar>
            <w:hideMark/>
          </w:tcPr>
          <w:p w14:paraId="07D6442F" w14:textId="77777777" w:rsidR="00AC2D21" w:rsidRPr="00AC2D21" w:rsidRDefault="00AC2D21" w:rsidP="00AC2D21">
            <w:pPr>
              <w:spacing w:line="480" w:lineRule="auto"/>
              <w:jc w:val="right"/>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$40</w:t>
            </w:r>
          </w:p>
        </w:tc>
        <w:tc>
          <w:tcPr>
            <w:tcW w:w="0" w:type="auto"/>
            <w:tcMar>
              <w:top w:w="24" w:type="dxa"/>
              <w:left w:w="120" w:type="dxa"/>
              <w:bottom w:w="24" w:type="dxa"/>
              <w:right w:w="120" w:type="dxa"/>
            </w:tcMar>
            <w:hideMark/>
          </w:tcPr>
          <w:p w14:paraId="42026344" w14:textId="77777777" w:rsidR="00AC2D21" w:rsidRPr="00AC2D21" w:rsidRDefault="00AC2D21" w:rsidP="00AC2D21">
            <w:pPr>
              <w:spacing w:line="480" w:lineRule="auto"/>
              <w:jc w:val="right"/>
              <w:rPr>
                <w:rFonts w:ascii="Helvetica" w:eastAsia="Times New Roman" w:hAnsi="Helvetica" w:cs="Arial"/>
                <w:sz w:val="22"/>
                <w:szCs w:val="22"/>
                <w:lang w:eastAsia="es-MX"/>
              </w:rPr>
            </w:pPr>
          </w:p>
        </w:tc>
      </w:tr>
      <w:tr w:rsidR="00AC2D21" w:rsidRPr="00AC2D21" w14:paraId="2B5EA685" w14:textId="77777777" w:rsidTr="00AC2D21">
        <w:trPr>
          <w:trHeight w:val="336"/>
        </w:trPr>
        <w:tc>
          <w:tcPr>
            <w:tcW w:w="3969" w:type="dxa"/>
            <w:tcMar>
              <w:top w:w="24" w:type="dxa"/>
              <w:left w:w="120" w:type="dxa"/>
              <w:bottom w:w="24" w:type="dxa"/>
              <w:right w:w="120" w:type="dxa"/>
            </w:tcMar>
            <w:hideMark/>
          </w:tcPr>
          <w:p w14:paraId="506934E3" w14:textId="77777777" w:rsidR="00AC2D21" w:rsidRPr="00AC2D21" w:rsidRDefault="00AC2D21" w:rsidP="00AC2D21">
            <w:pPr>
              <w:spacing w:line="480" w:lineRule="auto"/>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Cuentas por cobrar</w:t>
            </w:r>
          </w:p>
        </w:tc>
        <w:tc>
          <w:tcPr>
            <w:tcW w:w="0" w:type="auto"/>
            <w:tcMar>
              <w:top w:w="24" w:type="dxa"/>
              <w:left w:w="120" w:type="dxa"/>
              <w:bottom w:w="24" w:type="dxa"/>
              <w:right w:w="120" w:type="dxa"/>
            </w:tcMar>
            <w:hideMark/>
          </w:tcPr>
          <w:p w14:paraId="6F1EB710" w14:textId="77777777" w:rsidR="00AC2D21" w:rsidRPr="00AC2D21" w:rsidRDefault="00AC2D21" w:rsidP="00AC2D21">
            <w:pPr>
              <w:spacing w:line="480" w:lineRule="auto"/>
              <w:jc w:val="right"/>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100</w:t>
            </w:r>
          </w:p>
        </w:tc>
        <w:tc>
          <w:tcPr>
            <w:tcW w:w="0" w:type="auto"/>
            <w:tcMar>
              <w:top w:w="24" w:type="dxa"/>
              <w:left w:w="120" w:type="dxa"/>
              <w:bottom w:w="24" w:type="dxa"/>
              <w:right w:w="120" w:type="dxa"/>
            </w:tcMar>
            <w:hideMark/>
          </w:tcPr>
          <w:p w14:paraId="0861CF69" w14:textId="77777777" w:rsidR="00AC2D21" w:rsidRPr="00AC2D21" w:rsidRDefault="00AC2D21" w:rsidP="00AC2D21">
            <w:pPr>
              <w:spacing w:line="480" w:lineRule="auto"/>
              <w:jc w:val="right"/>
              <w:rPr>
                <w:rFonts w:ascii="Helvetica" w:eastAsia="Times New Roman" w:hAnsi="Helvetica" w:cs="Arial"/>
                <w:sz w:val="22"/>
                <w:szCs w:val="22"/>
                <w:lang w:eastAsia="es-MX"/>
              </w:rPr>
            </w:pPr>
          </w:p>
        </w:tc>
      </w:tr>
      <w:tr w:rsidR="00AC2D21" w:rsidRPr="00AC2D21" w14:paraId="0010CAB3" w14:textId="77777777" w:rsidTr="00AC2D21">
        <w:trPr>
          <w:trHeight w:val="336"/>
        </w:trPr>
        <w:tc>
          <w:tcPr>
            <w:tcW w:w="3969" w:type="dxa"/>
            <w:tcMar>
              <w:top w:w="24" w:type="dxa"/>
              <w:left w:w="120" w:type="dxa"/>
              <w:bottom w:w="24" w:type="dxa"/>
              <w:right w:w="120" w:type="dxa"/>
            </w:tcMar>
            <w:hideMark/>
          </w:tcPr>
          <w:p w14:paraId="6926F8B5" w14:textId="77777777" w:rsidR="00AC2D21" w:rsidRPr="00AC2D21" w:rsidRDefault="00AC2D21" w:rsidP="00AC2D21">
            <w:pPr>
              <w:spacing w:line="480" w:lineRule="auto"/>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Inventarios</w:t>
            </w:r>
          </w:p>
        </w:tc>
        <w:tc>
          <w:tcPr>
            <w:tcW w:w="0" w:type="auto"/>
            <w:tcMar>
              <w:top w:w="24" w:type="dxa"/>
              <w:left w:w="120" w:type="dxa"/>
              <w:bottom w:w="24" w:type="dxa"/>
              <w:right w:w="120" w:type="dxa"/>
            </w:tcMar>
            <w:hideMark/>
          </w:tcPr>
          <w:p w14:paraId="17202108" w14:textId="77777777" w:rsidR="00AC2D21" w:rsidRPr="00AC2D21" w:rsidRDefault="00AC2D21" w:rsidP="00AC2D21">
            <w:pPr>
              <w:spacing w:line="480" w:lineRule="auto"/>
              <w:jc w:val="right"/>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100</w:t>
            </w:r>
          </w:p>
        </w:tc>
        <w:tc>
          <w:tcPr>
            <w:tcW w:w="0" w:type="auto"/>
            <w:tcMar>
              <w:top w:w="24" w:type="dxa"/>
              <w:left w:w="120" w:type="dxa"/>
              <w:bottom w:w="24" w:type="dxa"/>
              <w:right w:w="120" w:type="dxa"/>
            </w:tcMar>
            <w:hideMark/>
          </w:tcPr>
          <w:p w14:paraId="469FEB40" w14:textId="77777777" w:rsidR="00AC2D21" w:rsidRPr="00AC2D21" w:rsidRDefault="00AC2D21" w:rsidP="00AC2D21">
            <w:pPr>
              <w:spacing w:line="480" w:lineRule="auto"/>
              <w:jc w:val="right"/>
              <w:rPr>
                <w:rFonts w:ascii="Helvetica" w:eastAsia="Times New Roman" w:hAnsi="Helvetica" w:cs="Arial"/>
                <w:sz w:val="22"/>
                <w:szCs w:val="22"/>
                <w:lang w:eastAsia="es-MX"/>
              </w:rPr>
            </w:pPr>
          </w:p>
        </w:tc>
      </w:tr>
      <w:tr w:rsidR="00AC2D21" w:rsidRPr="00AC2D21" w14:paraId="4CF60885" w14:textId="77777777" w:rsidTr="00AC2D21">
        <w:trPr>
          <w:trHeight w:val="336"/>
        </w:trPr>
        <w:tc>
          <w:tcPr>
            <w:tcW w:w="3969" w:type="dxa"/>
            <w:tcMar>
              <w:top w:w="24" w:type="dxa"/>
              <w:left w:w="120" w:type="dxa"/>
              <w:bottom w:w="24" w:type="dxa"/>
              <w:right w:w="120" w:type="dxa"/>
            </w:tcMar>
            <w:hideMark/>
          </w:tcPr>
          <w:p w14:paraId="1F3CDD57" w14:textId="77777777" w:rsidR="00AC2D21" w:rsidRPr="00AC2D21" w:rsidRDefault="00AC2D21" w:rsidP="00AC2D21">
            <w:pPr>
              <w:spacing w:line="480" w:lineRule="auto"/>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lastRenderedPageBreak/>
              <w:t>Propiedades, planta y equipo</w:t>
            </w:r>
          </w:p>
        </w:tc>
        <w:tc>
          <w:tcPr>
            <w:tcW w:w="0" w:type="auto"/>
            <w:tcMar>
              <w:top w:w="24" w:type="dxa"/>
              <w:left w:w="120" w:type="dxa"/>
              <w:bottom w:w="24" w:type="dxa"/>
              <w:right w:w="120" w:type="dxa"/>
            </w:tcMar>
            <w:hideMark/>
          </w:tcPr>
          <w:p w14:paraId="7D0421CD" w14:textId="77777777" w:rsidR="00AC2D21" w:rsidRPr="00AC2D21" w:rsidRDefault="00AC2D21" w:rsidP="00AC2D21">
            <w:pPr>
              <w:spacing w:line="480" w:lineRule="auto"/>
              <w:jc w:val="right"/>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 650</w:t>
            </w:r>
          </w:p>
        </w:tc>
        <w:tc>
          <w:tcPr>
            <w:tcW w:w="0" w:type="auto"/>
            <w:tcMar>
              <w:top w:w="24" w:type="dxa"/>
              <w:left w:w="120" w:type="dxa"/>
              <w:bottom w:w="24" w:type="dxa"/>
              <w:right w:w="120" w:type="dxa"/>
            </w:tcMar>
            <w:hideMark/>
          </w:tcPr>
          <w:p w14:paraId="2291C317" w14:textId="77777777" w:rsidR="00AC2D21" w:rsidRPr="00AC2D21" w:rsidRDefault="00AC2D21" w:rsidP="00AC2D21">
            <w:pPr>
              <w:spacing w:line="480" w:lineRule="auto"/>
              <w:jc w:val="right"/>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$890</w:t>
            </w:r>
          </w:p>
        </w:tc>
      </w:tr>
      <w:tr w:rsidR="00AC2D21" w:rsidRPr="00AC2D21" w14:paraId="7504A927" w14:textId="77777777" w:rsidTr="00AC2D21">
        <w:trPr>
          <w:trHeight w:val="336"/>
        </w:trPr>
        <w:tc>
          <w:tcPr>
            <w:tcW w:w="3969" w:type="dxa"/>
            <w:tcMar>
              <w:top w:w="24" w:type="dxa"/>
              <w:left w:w="120" w:type="dxa"/>
              <w:bottom w:w="24" w:type="dxa"/>
              <w:right w:w="120" w:type="dxa"/>
            </w:tcMar>
            <w:hideMark/>
          </w:tcPr>
          <w:p w14:paraId="15B1B4E1" w14:textId="77777777" w:rsidR="00AC2D21" w:rsidRPr="00AC2D21" w:rsidRDefault="00AC2D21" w:rsidP="00AC2D21">
            <w:pPr>
              <w:spacing w:line="480" w:lineRule="auto"/>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Pasivos</w:t>
            </w:r>
          </w:p>
        </w:tc>
        <w:tc>
          <w:tcPr>
            <w:tcW w:w="0" w:type="auto"/>
            <w:tcMar>
              <w:top w:w="24" w:type="dxa"/>
              <w:left w:w="120" w:type="dxa"/>
              <w:bottom w:w="24" w:type="dxa"/>
              <w:right w:w="120" w:type="dxa"/>
            </w:tcMar>
            <w:hideMark/>
          </w:tcPr>
          <w:p w14:paraId="5D74D80E" w14:textId="77777777" w:rsidR="00AC2D21" w:rsidRPr="00AC2D21" w:rsidRDefault="00AC2D21" w:rsidP="00AC2D21">
            <w:pPr>
              <w:spacing w:line="480" w:lineRule="auto"/>
              <w:rPr>
                <w:rFonts w:ascii="Helvetica" w:eastAsia="Times New Roman" w:hAnsi="Helvetica" w:cs="Arial"/>
                <w:sz w:val="22"/>
                <w:szCs w:val="22"/>
                <w:lang w:eastAsia="es-MX"/>
              </w:rPr>
            </w:pPr>
          </w:p>
        </w:tc>
        <w:tc>
          <w:tcPr>
            <w:tcW w:w="0" w:type="auto"/>
            <w:tcMar>
              <w:top w:w="24" w:type="dxa"/>
              <w:left w:w="120" w:type="dxa"/>
              <w:bottom w:w="24" w:type="dxa"/>
              <w:right w:w="120" w:type="dxa"/>
            </w:tcMar>
            <w:hideMark/>
          </w:tcPr>
          <w:p w14:paraId="66917364" w14:textId="77777777" w:rsidR="00AC2D21" w:rsidRPr="00AC2D21" w:rsidRDefault="00AC2D21" w:rsidP="00AC2D21">
            <w:pPr>
              <w:spacing w:line="480" w:lineRule="auto"/>
              <w:jc w:val="right"/>
              <w:rPr>
                <w:rFonts w:ascii="Helvetica" w:eastAsia="Times New Roman" w:hAnsi="Helvetica" w:cs="Times New Roman"/>
                <w:sz w:val="22"/>
                <w:szCs w:val="22"/>
                <w:lang w:eastAsia="es-MX"/>
              </w:rPr>
            </w:pPr>
          </w:p>
        </w:tc>
      </w:tr>
      <w:tr w:rsidR="00AC2D21" w:rsidRPr="00AC2D21" w14:paraId="48485AA0" w14:textId="77777777" w:rsidTr="00AC2D21">
        <w:trPr>
          <w:trHeight w:val="336"/>
        </w:trPr>
        <w:tc>
          <w:tcPr>
            <w:tcW w:w="3969" w:type="dxa"/>
            <w:tcMar>
              <w:top w:w="24" w:type="dxa"/>
              <w:left w:w="120" w:type="dxa"/>
              <w:bottom w:w="24" w:type="dxa"/>
              <w:right w:w="120" w:type="dxa"/>
            </w:tcMar>
            <w:hideMark/>
          </w:tcPr>
          <w:p w14:paraId="4EDA379A" w14:textId="77777777" w:rsidR="00AC2D21" w:rsidRPr="00AC2D21" w:rsidRDefault="00AC2D21" w:rsidP="00AC2D21">
            <w:pPr>
              <w:spacing w:line="480" w:lineRule="auto"/>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Proveedores</w:t>
            </w:r>
          </w:p>
        </w:tc>
        <w:tc>
          <w:tcPr>
            <w:tcW w:w="0" w:type="auto"/>
            <w:tcMar>
              <w:top w:w="24" w:type="dxa"/>
              <w:left w:w="120" w:type="dxa"/>
              <w:bottom w:w="24" w:type="dxa"/>
              <w:right w:w="120" w:type="dxa"/>
            </w:tcMar>
            <w:hideMark/>
          </w:tcPr>
          <w:p w14:paraId="2493E14B" w14:textId="77777777" w:rsidR="00AC2D21" w:rsidRPr="00AC2D21" w:rsidRDefault="00AC2D21" w:rsidP="00AC2D21">
            <w:pPr>
              <w:spacing w:line="480" w:lineRule="auto"/>
              <w:jc w:val="right"/>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100</w:t>
            </w:r>
          </w:p>
        </w:tc>
        <w:tc>
          <w:tcPr>
            <w:tcW w:w="0" w:type="auto"/>
            <w:tcMar>
              <w:top w:w="24" w:type="dxa"/>
              <w:left w:w="120" w:type="dxa"/>
              <w:bottom w:w="24" w:type="dxa"/>
              <w:right w:w="120" w:type="dxa"/>
            </w:tcMar>
            <w:hideMark/>
          </w:tcPr>
          <w:p w14:paraId="5836C59F" w14:textId="77777777" w:rsidR="00AC2D21" w:rsidRPr="00AC2D21" w:rsidRDefault="00AC2D21" w:rsidP="00AC2D21">
            <w:pPr>
              <w:spacing w:line="480" w:lineRule="auto"/>
              <w:jc w:val="right"/>
              <w:rPr>
                <w:rFonts w:ascii="Helvetica" w:eastAsia="Times New Roman" w:hAnsi="Helvetica" w:cs="Arial"/>
                <w:sz w:val="22"/>
                <w:szCs w:val="22"/>
                <w:lang w:eastAsia="es-MX"/>
              </w:rPr>
            </w:pPr>
          </w:p>
        </w:tc>
      </w:tr>
      <w:tr w:rsidR="00AC2D21" w:rsidRPr="00AC2D21" w14:paraId="73BA046D" w14:textId="77777777" w:rsidTr="00AC2D21">
        <w:trPr>
          <w:trHeight w:val="336"/>
        </w:trPr>
        <w:tc>
          <w:tcPr>
            <w:tcW w:w="3969" w:type="dxa"/>
            <w:tcMar>
              <w:top w:w="24" w:type="dxa"/>
              <w:left w:w="120" w:type="dxa"/>
              <w:bottom w:w="24" w:type="dxa"/>
              <w:right w:w="120" w:type="dxa"/>
            </w:tcMar>
            <w:hideMark/>
          </w:tcPr>
          <w:p w14:paraId="1AC97B40" w14:textId="77777777" w:rsidR="00AC2D21" w:rsidRPr="00AC2D21" w:rsidRDefault="00AC2D21" w:rsidP="00AC2D21">
            <w:pPr>
              <w:spacing w:line="480" w:lineRule="auto"/>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Deuda a largo plazo</w:t>
            </w:r>
          </w:p>
        </w:tc>
        <w:tc>
          <w:tcPr>
            <w:tcW w:w="0" w:type="auto"/>
            <w:tcMar>
              <w:top w:w="24" w:type="dxa"/>
              <w:left w:w="120" w:type="dxa"/>
              <w:bottom w:w="24" w:type="dxa"/>
              <w:right w:w="120" w:type="dxa"/>
            </w:tcMar>
            <w:hideMark/>
          </w:tcPr>
          <w:p w14:paraId="3E8A18E5" w14:textId="77777777" w:rsidR="00AC2D21" w:rsidRPr="00AC2D21" w:rsidRDefault="00AC2D21" w:rsidP="00AC2D21">
            <w:pPr>
              <w:spacing w:line="480" w:lineRule="auto"/>
              <w:jc w:val="right"/>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 200</w:t>
            </w:r>
          </w:p>
        </w:tc>
        <w:tc>
          <w:tcPr>
            <w:tcW w:w="0" w:type="auto"/>
            <w:tcMar>
              <w:top w:w="24" w:type="dxa"/>
              <w:left w:w="120" w:type="dxa"/>
              <w:bottom w:w="24" w:type="dxa"/>
              <w:right w:w="120" w:type="dxa"/>
            </w:tcMar>
            <w:hideMark/>
          </w:tcPr>
          <w:p w14:paraId="52E9F071" w14:textId="77777777" w:rsidR="00AC2D21" w:rsidRPr="00AC2D21" w:rsidRDefault="00AC2D21" w:rsidP="00AC2D21">
            <w:pPr>
              <w:spacing w:line="480" w:lineRule="auto"/>
              <w:jc w:val="right"/>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300</w:t>
            </w:r>
          </w:p>
        </w:tc>
      </w:tr>
      <w:tr w:rsidR="00AC2D21" w:rsidRPr="00AC2D21" w14:paraId="598DCBD0" w14:textId="77777777" w:rsidTr="00AC2D21">
        <w:trPr>
          <w:trHeight w:val="336"/>
        </w:trPr>
        <w:tc>
          <w:tcPr>
            <w:tcW w:w="3969" w:type="dxa"/>
            <w:tcMar>
              <w:top w:w="24" w:type="dxa"/>
              <w:left w:w="120" w:type="dxa"/>
              <w:bottom w:w="24" w:type="dxa"/>
              <w:right w:w="120" w:type="dxa"/>
            </w:tcMar>
            <w:hideMark/>
          </w:tcPr>
          <w:p w14:paraId="4248C095" w14:textId="77777777" w:rsidR="00AC2D21" w:rsidRPr="00AC2D21" w:rsidRDefault="00AC2D21" w:rsidP="00AC2D21">
            <w:pPr>
              <w:spacing w:line="480" w:lineRule="auto"/>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Activos netos</w:t>
            </w:r>
          </w:p>
        </w:tc>
        <w:tc>
          <w:tcPr>
            <w:tcW w:w="0" w:type="auto"/>
            <w:tcMar>
              <w:top w:w="24" w:type="dxa"/>
              <w:left w:w="120" w:type="dxa"/>
              <w:bottom w:w="24" w:type="dxa"/>
              <w:right w:w="120" w:type="dxa"/>
            </w:tcMar>
            <w:hideMark/>
          </w:tcPr>
          <w:p w14:paraId="7C10FF0C" w14:textId="77777777" w:rsidR="00AC2D21" w:rsidRPr="00AC2D21" w:rsidRDefault="00AC2D21" w:rsidP="00AC2D21">
            <w:pPr>
              <w:spacing w:line="480" w:lineRule="auto"/>
              <w:rPr>
                <w:rFonts w:ascii="Helvetica" w:eastAsia="Times New Roman" w:hAnsi="Helvetica" w:cs="Arial"/>
                <w:sz w:val="22"/>
                <w:szCs w:val="22"/>
                <w:lang w:eastAsia="es-MX"/>
              </w:rPr>
            </w:pPr>
          </w:p>
        </w:tc>
        <w:tc>
          <w:tcPr>
            <w:tcW w:w="0" w:type="auto"/>
            <w:tcMar>
              <w:top w:w="24" w:type="dxa"/>
              <w:left w:w="120" w:type="dxa"/>
              <w:bottom w:w="24" w:type="dxa"/>
              <w:right w:w="120" w:type="dxa"/>
            </w:tcMar>
            <w:hideMark/>
          </w:tcPr>
          <w:p w14:paraId="33157748" w14:textId="77777777" w:rsidR="00AC2D21" w:rsidRPr="00AC2D21" w:rsidRDefault="00AC2D21" w:rsidP="00AC2D21">
            <w:pPr>
              <w:spacing w:line="480" w:lineRule="auto"/>
              <w:jc w:val="right"/>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590</w:t>
            </w:r>
          </w:p>
        </w:tc>
      </w:tr>
      <w:tr w:rsidR="00AC2D21" w:rsidRPr="00AC2D21" w14:paraId="7868976A" w14:textId="77777777" w:rsidTr="00AC2D21">
        <w:trPr>
          <w:trHeight w:val="336"/>
        </w:trPr>
        <w:tc>
          <w:tcPr>
            <w:tcW w:w="3969" w:type="dxa"/>
            <w:tcMar>
              <w:top w:w="24" w:type="dxa"/>
              <w:left w:w="120" w:type="dxa"/>
              <w:bottom w:w="24" w:type="dxa"/>
              <w:right w:w="120" w:type="dxa"/>
            </w:tcMar>
            <w:hideMark/>
          </w:tcPr>
          <w:p w14:paraId="2FD0CF6B" w14:textId="77777777" w:rsidR="00AC2D21" w:rsidRPr="00AC2D21" w:rsidRDefault="00AC2D21" w:rsidP="00AC2D21">
            <w:pPr>
              <w:spacing w:line="480" w:lineRule="auto"/>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Se generó un crédito mercantil de</w:t>
            </w:r>
          </w:p>
        </w:tc>
        <w:tc>
          <w:tcPr>
            <w:tcW w:w="0" w:type="auto"/>
            <w:tcMar>
              <w:top w:w="24" w:type="dxa"/>
              <w:left w:w="120" w:type="dxa"/>
              <w:bottom w:w="24" w:type="dxa"/>
              <w:right w:w="120" w:type="dxa"/>
            </w:tcMar>
            <w:hideMark/>
          </w:tcPr>
          <w:p w14:paraId="78B20213" w14:textId="77777777" w:rsidR="00AC2D21" w:rsidRPr="00AC2D21" w:rsidRDefault="00AC2D21" w:rsidP="00AC2D21">
            <w:pPr>
              <w:spacing w:line="480" w:lineRule="auto"/>
              <w:rPr>
                <w:rFonts w:ascii="Helvetica" w:eastAsia="Times New Roman" w:hAnsi="Helvetica" w:cs="Arial"/>
                <w:sz w:val="22"/>
                <w:szCs w:val="22"/>
                <w:lang w:eastAsia="es-MX"/>
              </w:rPr>
            </w:pPr>
          </w:p>
        </w:tc>
        <w:tc>
          <w:tcPr>
            <w:tcW w:w="0" w:type="auto"/>
            <w:tcMar>
              <w:top w:w="24" w:type="dxa"/>
              <w:left w:w="120" w:type="dxa"/>
              <w:bottom w:w="24" w:type="dxa"/>
              <w:right w:w="120" w:type="dxa"/>
            </w:tcMar>
            <w:hideMark/>
          </w:tcPr>
          <w:p w14:paraId="60069AAC" w14:textId="77777777" w:rsidR="00AC2D21" w:rsidRPr="00AC2D21" w:rsidRDefault="00AC2D21" w:rsidP="00AC2D21">
            <w:pPr>
              <w:spacing w:line="480" w:lineRule="auto"/>
              <w:jc w:val="right"/>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100</w:t>
            </w:r>
          </w:p>
        </w:tc>
      </w:tr>
      <w:tr w:rsidR="00AC2D21" w:rsidRPr="00AC2D21" w14:paraId="5BB93255" w14:textId="77777777" w:rsidTr="00AC2D21">
        <w:trPr>
          <w:trHeight w:val="336"/>
        </w:trPr>
        <w:tc>
          <w:tcPr>
            <w:tcW w:w="3969" w:type="dxa"/>
            <w:tcMar>
              <w:top w:w="24" w:type="dxa"/>
              <w:left w:w="120" w:type="dxa"/>
              <w:bottom w:w="24" w:type="dxa"/>
              <w:right w:w="120" w:type="dxa"/>
            </w:tcMar>
            <w:hideMark/>
          </w:tcPr>
          <w:p w14:paraId="5F85C307" w14:textId="77777777" w:rsidR="00AC2D21" w:rsidRPr="00AC2D21" w:rsidRDefault="00AC2D21" w:rsidP="00AC2D21">
            <w:pPr>
              <w:spacing w:line="480" w:lineRule="auto"/>
              <w:jc w:val="right"/>
              <w:rPr>
                <w:rFonts w:ascii="Helvetica" w:eastAsia="Times New Roman" w:hAnsi="Helvetica" w:cs="Arial"/>
                <w:sz w:val="22"/>
                <w:szCs w:val="22"/>
                <w:lang w:eastAsia="es-MX"/>
              </w:rPr>
            </w:pPr>
            <w:r w:rsidRPr="00AC2D21">
              <w:rPr>
                <w:rFonts w:ascii="Helvetica" w:eastAsia="Times New Roman" w:hAnsi="Helvetica" w:cs="Arial"/>
                <w:sz w:val="22"/>
                <w:szCs w:val="22"/>
                <w:lang w:eastAsia="es-MX"/>
              </w:rPr>
              <w:t>Precio de compra</w:t>
            </w:r>
          </w:p>
        </w:tc>
        <w:tc>
          <w:tcPr>
            <w:tcW w:w="0" w:type="auto"/>
            <w:tcMar>
              <w:top w:w="24" w:type="dxa"/>
              <w:left w:w="120" w:type="dxa"/>
              <w:bottom w:w="24" w:type="dxa"/>
              <w:right w:w="120" w:type="dxa"/>
            </w:tcMar>
            <w:hideMark/>
          </w:tcPr>
          <w:p w14:paraId="2997D7C2" w14:textId="77777777" w:rsidR="00AC2D21" w:rsidRPr="00AC2D21" w:rsidRDefault="00AC2D21" w:rsidP="00AC2D21">
            <w:pPr>
              <w:spacing w:line="480" w:lineRule="auto"/>
              <w:jc w:val="right"/>
              <w:rPr>
                <w:rFonts w:ascii="Helvetica" w:eastAsia="Times New Roman" w:hAnsi="Helvetica" w:cs="Arial"/>
                <w:sz w:val="22"/>
                <w:szCs w:val="22"/>
                <w:lang w:eastAsia="es-MX"/>
              </w:rPr>
            </w:pPr>
          </w:p>
        </w:tc>
        <w:tc>
          <w:tcPr>
            <w:tcW w:w="0" w:type="auto"/>
            <w:tcMar>
              <w:top w:w="24" w:type="dxa"/>
              <w:left w:w="120" w:type="dxa"/>
              <w:bottom w:w="24" w:type="dxa"/>
              <w:right w:w="120" w:type="dxa"/>
            </w:tcMar>
            <w:hideMark/>
          </w:tcPr>
          <w:p w14:paraId="413CFCC0" w14:textId="77777777" w:rsidR="00AC2D21" w:rsidRPr="00AC2D21" w:rsidRDefault="00AC2D21" w:rsidP="00AC2D21">
            <w:pPr>
              <w:spacing w:line="480" w:lineRule="auto"/>
              <w:jc w:val="right"/>
              <w:rPr>
                <w:rFonts w:ascii="Helvetica" w:eastAsia="Times New Roman" w:hAnsi="Helvetica" w:cs="Arial"/>
                <w:sz w:val="22"/>
                <w:szCs w:val="22"/>
                <w:lang w:eastAsia="es-MX"/>
              </w:rPr>
            </w:pPr>
            <w:r w:rsidRPr="00AC2D21">
              <w:rPr>
                <w:rFonts w:ascii="Helvetica" w:eastAsia="Times New Roman" w:hAnsi="Helvetica" w:cs="Arial"/>
                <w:sz w:val="22"/>
                <w:szCs w:val="22"/>
                <w:bdr w:val="single" w:sz="6" w:space="0" w:color="000000" w:frame="1"/>
                <w:lang w:eastAsia="es-MX"/>
              </w:rPr>
              <w:t>$690</w:t>
            </w:r>
          </w:p>
        </w:tc>
      </w:tr>
    </w:tbl>
    <w:p w14:paraId="6ACCC5E3" w14:textId="77777777" w:rsidR="00AC2D21" w:rsidRPr="00AC2D21" w:rsidRDefault="00AC2D21" w:rsidP="00AC2D21">
      <w:pPr>
        <w:spacing w:before="240" w:line="480" w:lineRule="auto"/>
        <w:ind w:left="240"/>
        <w:jc w:val="both"/>
        <w:rPr>
          <w:rFonts w:ascii="Helvetica" w:eastAsia="Times New Roman" w:hAnsi="Helvetica" w:cs="Arial"/>
          <w:color w:val="000000"/>
          <w:sz w:val="22"/>
          <w:szCs w:val="22"/>
          <w:lang w:eastAsia="es-MX"/>
        </w:rPr>
      </w:pPr>
      <w:r w:rsidRPr="00AC2D21">
        <w:rPr>
          <w:rFonts w:ascii="Helvetica" w:eastAsia="Times New Roman" w:hAnsi="Helvetica" w:cs="Arial"/>
          <w:i/>
          <w:iCs/>
          <w:color w:val="000000"/>
          <w:sz w:val="22"/>
          <w:szCs w:val="22"/>
          <w:lang w:eastAsia="es-MX"/>
        </w:rPr>
        <w:t>9</w:t>
      </w:r>
      <w:r w:rsidRPr="00AC2D21">
        <w:rPr>
          <w:rFonts w:ascii="Helvetica" w:eastAsia="Times New Roman" w:hAnsi="Helvetica" w:cs="Arial"/>
          <w:color w:val="000000"/>
          <w:sz w:val="22"/>
          <w:szCs w:val="22"/>
          <w:lang w:eastAsia="es-MX"/>
        </w:rPr>
        <w:t>.</w:t>
      </w:r>
    </w:p>
    <w:p w14:paraId="4CD07B97"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Compra de propiedades, planta y equipo</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Durante el periodo, la entidad compró propiedades, planta y equipo por un total de $1,250, de los cuales $900 se adquirieron mediante arrendamiento financiero y $350 en efectivo.</w:t>
      </w:r>
    </w:p>
    <w:p w14:paraId="75223FDF" w14:textId="77777777" w:rsidR="00AC2D21" w:rsidRPr="00AC2D21" w:rsidRDefault="00AC2D21" w:rsidP="00AC2D21">
      <w:pPr>
        <w:spacing w:before="240" w:line="480" w:lineRule="auto"/>
        <w:ind w:left="240"/>
        <w:jc w:val="both"/>
        <w:rPr>
          <w:rFonts w:ascii="Helvetica" w:eastAsia="Times New Roman" w:hAnsi="Helvetica" w:cs="Arial"/>
          <w:color w:val="000000"/>
          <w:sz w:val="22"/>
          <w:szCs w:val="22"/>
          <w:lang w:eastAsia="es-MX"/>
        </w:rPr>
      </w:pPr>
      <w:r w:rsidRPr="00AC2D21">
        <w:rPr>
          <w:rFonts w:ascii="Helvetica" w:eastAsia="Times New Roman" w:hAnsi="Helvetica" w:cs="Arial"/>
          <w:i/>
          <w:iCs/>
          <w:color w:val="000000"/>
          <w:sz w:val="22"/>
          <w:szCs w:val="22"/>
          <w:lang w:eastAsia="es-MX"/>
        </w:rPr>
        <w:t>10</w:t>
      </w:r>
      <w:r w:rsidRPr="00AC2D21">
        <w:rPr>
          <w:rFonts w:ascii="Helvetica" w:eastAsia="Times New Roman" w:hAnsi="Helvetica" w:cs="Arial"/>
          <w:color w:val="000000"/>
          <w:sz w:val="22"/>
          <w:szCs w:val="22"/>
          <w:lang w:eastAsia="es-MX"/>
        </w:rPr>
        <w:t>.</w:t>
      </w:r>
    </w:p>
    <w:p w14:paraId="3DF93D0E"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Pago del arrendamiento financiero</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pagaron $90 del arrendamiento financiero relativo a la maquinaria.</w:t>
      </w:r>
    </w:p>
    <w:p w14:paraId="1DA8236C" w14:textId="77777777" w:rsidR="00AC2D21" w:rsidRPr="00AC2D21" w:rsidRDefault="00AC2D21" w:rsidP="00AC2D21">
      <w:pPr>
        <w:spacing w:before="240" w:line="480" w:lineRule="auto"/>
        <w:ind w:left="240"/>
        <w:jc w:val="both"/>
        <w:rPr>
          <w:rFonts w:ascii="Helvetica" w:eastAsia="Times New Roman" w:hAnsi="Helvetica" w:cs="Arial"/>
          <w:color w:val="000000"/>
          <w:sz w:val="22"/>
          <w:szCs w:val="22"/>
          <w:lang w:eastAsia="es-MX"/>
        </w:rPr>
      </w:pPr>
      <w:r w:rsidRPr="00AC2D21">
        <w:rPr>
          <w:rFonts w:ascii="Helvetica" w:eastAsia="Times New Roman" w:hAnsi="Helvetica" w:cs="Arial"/>
          <w:i/>
          <w:iCs/>
          <w:color w:val="000000"/>
          <w:sz w:val="22"/>
          <w:szCs w:val="22"/>
          <w:lang w:eastAsia="es-MX"/>
        </w:rPr>
        <w:t>11</w:t>
      </w:r>
      <w:r w:rsidRPr="00AC2D21">
        <w:rPr>
          <w:rFonts w:ascii="Helvetica" w:eastAsia="Times New Roman" w:hAnsi="Helvetica" w:cs="Arial"/>
          <w:color w:val="000000"/>
          <w:sz w:val="22"/>
          <w:szCs w:val="22"/>
          <w:lang w:eastAsia="es-MX"/>
        </w:rPr>
        <w:t>.</w:t>
      </w:r>
    </w:p>
    <w:p w14:paraId="566397D6"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Dividendos pagados</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pagaron dividendos en efectivo por $1,200.</w:t>
      </w:r>
    </w:p>
    <w:p w14:paraId="45C4D006" w14:textId="77777777" w:rsidR="00AC2D21" w:rsidRPr="00AC2D21" w:rsidRDefault="00AC2D21" w:rsidP="00AC2D21">
      <w:pPr>
        <w:spacing w:before="240" w:line="480" w:lineRule="auto"/>
        <w:ind w:left="240"/>
        <w:jc w:val="both"/>
        <w:rPr>
          <w:rFonts w:ascii="Helvetica" w:eastAsia="Times New Roman" w:hAnsi="Helvetica" w:cs="Arial"/>
          <w:color w:val="000000"/>
          <w:sz w:val="22"/>
          <w:szCs w:val="22"/>
          <w:lang w:eastAsia="es-MX"/>
        </w:rPr>
      </w:pPr>
      <w:r w:rsidRPr="00AC2D21">
        <w:rPr>
          <w:rFonts w:ascii="Helvetica" w:eastAsia="Times New Roman" w:hAnsi="Helvetica" w:cs="Arial"/>
          <w:i/>
          <w:iCs/>
          <w:color w:val="000000"/>
          <w:sz w:val="22"/>
          <w:szCs w:val="22"/>
          <w:lang w:eastAsia="es-MX"/>
        </w:rPr>
        <w:t>12</w:t>
      </w:r>
      <w:r w:rsidRPr="00AC2D21">
        <w:rPr>
          <w:rFonts w:ascii="Helvetica" w:eastAsia="Times New Roman" w:hAnsi="Helvetica" w:cs="Arial"/>
          <w:color w:val="000000"/>
          <w:sz w:val="22"/>
          <w:szCs w:val="22"/>
          <w:lang w:eastAsia="es-MX"/>
        </w:rPr>
        <w:t>.</w:t>
      </w:r>
    </w:p>
    <w:p w14:paraId="2A6D4382" w14:textId="77777777" w:rsidR="00AC2D21" w:rsidRPr="00AC2D21" w:rsidRDefault="00AC2D21" w:rsidP="00AC2D21">
      <w:pPr>
        <w:spacing w:after="288"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Emisión de capital</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recibieron $500 provenientes de: $250 de una nueva emisión de capital y $250 de un préstamo a largo plazo.</w:t>
      </w:r>
    </w:p>
    <w:p w14:paraId="3CC39716" w14:textId="77777777" w:rsidR="00AC2D21" w:rsidRPr="00AC2D21" w:rsidRDefault="00AC2D21" w:rsidP="00AC2D21">
      <w:pPr>
        <w:spacing w:before="240" w:after="288"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Los estados financieros que se usan como base para la determinación del estado de flujos de efectivo, son los siguientes:</w:t>
      </w:r>
    </w:p>
    <w:tbl>
      <w:tblPr>
        <w:tblW w:w="9781" w:type="dxa"/>
        <w:tblCellMar>
          <w:top w:w="15" w:type="dxa"/>
          <w:left w:w="15" w:type="dxa"/>
          <w:bottom w:w="15" w:type="dxa"/>
          <w:right w:w="15" w:type="dxa"/>
        </w:tblCellMar>
        <w:tblLook w:val="04A0" w:firstRow="1" w:lastRow="0" w:firstColumn="1" w:lastColumn="0" w:noHBand="0" w:noVBand="1"/>
      </w:tblPr>
      <w:tblGrid>
        <w:gridCol w:w="5105"/>
        <w:gridCol w:w="710"/>
        <w:gridCol w:w="84"/>
        <w:gridCol w:w="431"/>
        <w:gridCol w:w="719"/>
        <w:gridCol w:w="194"/>
        <w:gridCol w:w="123"/>
        <w:gridCol w:w="432"/>
        <w:gridCol w:w="433"/>
        <w:gridCol w:w="1550"/>
      </w:tblGrid>
      <w:tr w:rsidR="00AC2D21" w:rsidRPr="00AC2D21" w14:paraId="1A2A61D7" w14:textId="77777777" w:rsidTr="00AC2D21">
        <w:trPr>
          <w:trHeight w:val="336"/>
        </w:trPr>
        <w:tc>
          <w:tcPr>
            <w:tcW w:w="9781" w:type="dxa"/>
            <w:gridSpan w:val="10"/>
            <w:tcMar>
              <w:top w:w="24" w:type="dxa"/>
              <w:left w:w="120" w:type="dxa"/>
              <w:bottom w:w="24" w:type="dxa"/>
              <w:right w:w="120" w:type="dxa"/>
            </w:tcMar>
            <w:hideMark/>
          </w:tcPr>
          <w:p w14:paraId="3687FE0F" w14:textId="77777777" w:rsidR="00AC2D21" w:rsidRPr="00AC2D21" w:rsidRDefault="00AC2D21" w:rsidP="00AC2D21">
            <w:pPr>
              <w:spacing w:line="480" w:lineRule="auto"/>
              <w:jc w:val="center"/>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lastRenderedPageBreak/>
              <w:t>La Comercial, S.A. de C. V.</w:t>
            </w:r>
          </w:p>
        </w:tc>
      </w:tr>
      <w:tr w:rsidR="00AC2D21" w:rsidRPr="00AC2D21" w14:paraId="59031042" w14:textId="77777777" w:rsidTr="00AC2D21">
        <w:trPr>
          <w:trHeight w:val="336"/>
        </w:trPr>
        <w:tc>
          <w:tcPr>
            <w:tcW w:w="9781" w:type="dxa"/>
            <w:gridSpan w:val="10"/>
            <w:tcMar>
              <w:top w:w="24" w:type="dxa"/>
              <w:left w:w="120" w:type="dxa"/>
              <w:bottom w:w="24" w:type="dxa"/>
              <w:right w:w="120" w:type="dxa"/>
            </w:tcMar>
            <w:hideMark/>
          </w:tcPr>
          <w:p w14:paraId="66F82728" w14:textId="77777777" w:rsidR="00AC2D21" w:rsidRPr="00AC2D21" w:rsidRDefault="00AC2D21" w:rsidP="00AC2D21">
            <w:pPr>
              <w:spacing w:line="480" w:lineRule="auto"/>
              <w:jc w:val="center"/>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Balances generales comparativos al 31 de diciembre de X2 y X1.</w:t>
            </w:r>
          </w:p>
        </w:tc>
      </w:tr>
      <w:tr w:rsidR="00AC2D21" w:rsidRPr="00AC2D21" w14:paraId="7627A73D" w14:textId="77777777" w:rsidTr="00AC2D21">
        <w:trPr>
          <w:gridAfter w:val="1"/>
          <w:wAfter w:w="1553" w:type="dxa"/>
          <w:trHeight w:val="336"/>
        </w:trPr>
        <w:tc>
          <w:tcPr>
            <w:tcW w:w="5101" w:type="dxa"/>
            <w:tcMar>
              <w:top w:w="24" w:type="dxa"/>
              <w:left w:w="120" w:type="dxa"/>
              <w:bottom w:w="24" w:type="dxa"/>
              <w:right w:w="120" w:type="dxa"/>
            </w:tcMar>
            <w:hideMark/>
          </w:tcPr>
          <w:p w14:paraId="65938EF0" w14:textId="77777777" w:rsidR="00AC2D21" w:rsidRPr="00AC2D21" w:rsidRDefault="00AC2D21" w:rsidP="00AC2D21">
            <w:pPr>
              <w:spacing w:line="480" w:lineRule="auto"/>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Activos</w:t>
            </w:r>
          </w:p>
        </w:tc>
        <w:tc>
          <w:tcPr>
            <w:tcW w:w="795" w:type="dxa"/>
            <w:gridSpan w:val="2"/>
            <w:tcMar>
              <w:top w:w="24" w:type="dxa"/>
              <w:left w:w="120" w:type="dxa"/>
              <w:bottom w:w="24" w:type="dxa"/>
              <w:right w:w="120" w:type="dxa"/>
            </w:tcMar>
            <w:hideMark/>
          </w:tcPr>
          <w:p w14:paraId="68DF7AA8" w14:textId="77777777" w:rsidR="00AC2D21" w:rsidRPr="00AC2D21" w:rsidRDefault="00AC2D21" w:rsidP="00AC2D21">
            <w:pPr>
              <w:spacing w:line="480" w:lineRule="auto"/>
              <w:rPr>
                <w:rFonts w:ascii="Helvetica" w:eastAsia="Times New Roman" w:hAnsi="Helvetica" w:cs="Arial"/>
                <w:b/>
                <w:bCs/>
                <w:color w:val="000000"/>
                <w:sz w:val="22"/>
                <w:szCs w:val="22"/>
                <w:lang w:eastAsia="es-MX"/>
              </w:rPr>
            </w:pPr>
          </w:p>
        </w:tc>
        <w:tc>
          <w:tcPr>
            <w:tcW w:w="1150" w:type="dxa"/>
            <w:gridSpan w:val="2"/>
            <w:tcMar>
              <w:top w:w="24" w:type="dxa"/>
              <w:left w:w="120" w:type="dxa"/>
              <w:bottom w:w="24" w:type="dxa"/>
              <w:right w:w="120" w:type="dxa"/>
            </w:tcMar>
            <w:hideMark/>
          </w:tcPr>
          <w:p w14:paraId="60716754" w14:textId="77777777" w:rsidR="00AC2D21" w:rsidRPr="00AC2D21" w:rsidRDefault="00AC2D21" w:rsidP="00AC2D21">
            <w:pPr>
              <w:spacing w:line="480" w:lineRule="auto"/>
              <w:jc w:val="center"/>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X2</w:t>
            </w:r>
          </w:p>
        </w:tc>
        <w:tc>
          <w:tcPr>
            <w:tcW w:w="317" w:type="dxa"/>
            <w:gridSpan w:val="2"/>
            <w:tcMar>
              <w:top w:w="24" w:type="dxa"/>
              <w:left w:w="120" w:type="dxa"/>
              <w:bottom w:w="24" w:type="dxa"/>
              <w:right w:w="120" w:type="dxa"/>
            </w:tcMar>
            <w:hideMark/>
          </w:tcPr>
          <w:p w14:paraId="7995FBB8" w14:textId="77777777" w:rsidR="00AC2D21" w:rsidRPr="00AC2D21" w:rsidRDefault="00AC2D21" w:rsidP="00AC2D21">
            <w:pPr>
              <w:spacing w:line="480" w:lineRule="auto"/>
              <w:jc w:val="center"/>
              <w:rPr>
                <w:rFonts w:ascii="Helvetica" w:eastAsia="Times New Roman" w:hAnsi="Helvetica" w:cs="Arial"/>
                <w:b/>
                <w:bCs/>
                <w:color w:val="000000"/>
                <w:sz w:val="22"/>
                <w:szCs w:val="22"/>
                <w:lang w:eastAsia="es-MX"/>
              </w:rPr>
            </w:pPr>
          </w:p>
        </w:tc>
        <w:tc>
          <w:tcPr>
            <w:tcW w:w="865" w:type="dxa"/>
            <w:gridSpan w:val="2"/>
            <w:tcMar>
              <w:top w:w="24" w:type="dxa"/>
              <w:left w:w="120" w:type="dxa"/>
              <w:bottom w:w="24" w:type="dxa"/>
              <w:right w:w="120" w:type="dxa"/>
            </w:tcMar>
            <w:hideMark/>
          </w:tcPr>
          <w:p w14:paraId="09E6CBDE" w14:textId="77777777" w:rsidR="00AC2D21" w:rsidRPr="00AC2D21" w:rsidRDefault="00AC2D21" w:rsidP="00AC2D21">
            <w:pPr>
              <w:spacing w:line="480" w:lineRule="auto"/>
              <w:jc w:val="center"/>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X1</w:t>
            </w:r>
          </w:p>
        </w:tc>
      </w:tr>
      <w:tr w:rsidR="00AC2D21" w:rsidRPr="00AC2D21" w14:paraId="3E30785D" w14:textId="77777777" w:rsidTr="00AC2D21">
        <w:trPr>
          <w:gridAfter w:val="1"/>
          <w:wAfter w:w="1553" w:type="dxa"/>
          <w:trHeight w:val="336"/>
        </w:trPr>
        <w:tc>
          <w:tcPr>
            <w:tcW w:w="5101" w:type="dxa"/>
            <w:tcMar>
              <w:top w:w="24" w:type="dxa"/>
              <w:left w:w="120" w:type="dxa"/>
              <w:bottom w:w="24" w:type="dxa"/>
              <w:right w:w="120" w:type="dxa"/>
            </w:tcMar>
            <w:hideMark/>
          </w:tcPr>
          <w:p w14:paraId="6A47B3B6"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Efectivo</w:t>
            </w:r>
          </w:p>
        </w:tc>
        <w:tc>
          <w:tcPr>
            <w:tcW w:w="0" w:type="auto"/>
            <w:gridSpan w:val="2"/>
            <w:tcMar>
              <w:top w:w="24" w:type="dxa"/>
              <w:left w:w="120" w:type="dxa"/>
              <w:bottom w:w="24" w:type="dxa"/>
              <w:right w:w="120" w:type="dxa"/>
            </w:tcMar>
            <w:hideMark/>
          </w:tcPr>
          <w:p w14:paraId="5BC64454"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603823FA"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$230</w:t>
            </w:r>
          </w:p>
        </w:tc>
        <w:tc>
          <w:tcPr>
            <w:tcW w:w="0" w:type="auto"/>
            <w:gridSpan w:val="2"/>
            <w:tcMar>
              <w:top w:w="24" w:type="dxa"/>
              <w:left w:w="120" w:type="dxa"/>
              <w:bottom w:w="24" w:type="dxa"/>
              <w:right w:w="120" w:type="dxa"/>
            </w:tcMar>
            <w:hideMark/>
          </w:tcPr>
          <w:p w14:paraId="64C92960"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144535DF"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$160</w:t>
            </w:r>
          </w:p>
        </w:tc>
      </w:tr>
      <w:tr w:rsidR="00AC2D21" w:rsidRPr="00AC2D21" w14:paraId="62FC1EBB" w14:textId="77777777" w:rsidTr="00AC2D21">
        <w:trPr>
          <w:gridAfter w:val="1"/>
          <w:wAfter w:w="1553" w:type="dxa"/>
          <w:trHeight w:val="336"/>
        </w:trPr>
        <w:tc>
          <w:tcPr>
            <w:tcW w:w="5101" w:type="dxa"/>
            <w:tcMar>
              <w:top w:w="24" w:type="dxa"/>
              <w:left w:w="120" w:type="dxa"/>
              <w:bottom w:w="24" w:type="dxa"/>
              <w:right w:w="120" w:type="dxa"/>
            </w:tcMar>
            <w:hideMark/>
          </w:tcPr>
          <w:p w14:paraId="64866525"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Instrumentos financieros disponibles para la venta</w:t>
            </w:r>
          </w:p>
        </w:tc>
        <w:tc>
          <w:tcPr>
            <w:tcW w:w="0" w:type="auto"/>
            <w:gridSpan w:val="2"/>
            <w:tcMar>
              <w:top w:w="24" w:type="dxa"/>
              <w:left w:w="120" w:type="dxa"/>
              <w:bottom w:w="24" w:type="dxa"/>
              <w:right w:w="120" w:type="dxa"/>
            </w:tcMar>
            <w:hideMark/>
          </w:tcPr>
          <w:p w14:paraId="12E322B9"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2EB7C45D"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1,100</w:t>
            </w:r>
          </w:p>
        </w:tc>
        <w:tc>
          <w:tcPr>
            <w:tcW w:w="0" w:type="auto"/>
            <w:gridSpan w:val="2"/>
            <w:tcMar>
              <w:top w:w="24" w:type="dxa"/>
              <w:left w:w="120" w:type="dxa"/>
              <w:bottom w:w="24" w:type="dxa"/>
              <w:right w:w="120" w:type="dxa"/>
            </w:tcMar>
            <w:hideMark/>
          </w:tcPr>
          <w:p w14:paraId="5AF4DD41"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7ED8ECA9"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1,100</w:t>
            </w:r>
          </w:p>
        </w:tc>
      </w:tr>
      <w:tr w:rsidR="00AC2D21" w:rsidRPr="00AC2D21" w14:paraId="105FC04C" w14:textId="77777777" w:rsidTr="00AC2D21">
        <w:trPr>
          <w:gridAfter w:val="1"/>
          <w:wAfter w:w="1553" w:type="dxa"/>
          <w:trHeight w:val="336"/>
        </w:trPr>
        <w:tc>
          <w:tcPr>
            <w:tcW w:w="5101" w:type="dxa"/>
            <w:tcMar>
              <w:top w:w="24" w:type="dxa"/>
              <w:left w:w="120" w:type="dxa"/>
              <w:bottom w:w="24" w:type="dxa"/>
              <w:right w:w="120" w:type="dxa"/>
            </w:tcMar>
            <w:hideMark/>
          </w:tcPr>
          <w:p w14:paraId="7D33D834"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Cuentas por cobrar</w:t>
            </w:r>
          </w:p>
        </w:tc>
        <w:tc>
          <w:tcPr>
            <w:tcW w:w="0" w:type="auto"/>
            <w:gridSpan w:val="2"/>
            <w:tcMar>
              <w:top w:w="24" w:type="dxa"/>
              <w:left w:w="120" w:type="dxa"/>
              <w:bottom w:w="24" w:type="dxa"/>
              <w:right w:w="120" w:type="dxa"/>
            </w:tcMar>
            <w:hideMark/>
          </w:tcPr>
          <w:p w14:paraId="48FA2ECA"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40E1C470"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2,300</w:t>
            </w:r>
          </w:p>
        </w:tc>
        <w:tc>
          <w:tcPr>
            <w:tcW w:w="0" w:type="auto"/>
            <w:gridSpan w:val="2"/>
            <w:tcMar>
              <w:top w:w="24" w:type="dxa"/>
              <w:left w:w="120" w:type="dxa"/>
              <w:bottom w:w="24" w:type="dxa"/>
              <w:right w:w="120" w:type="dxa"/>
            </w:tcMar>
            <w:hideMark/>
          </w:tcPr>
          <w:p w14:paraId="3039DA59"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367A641F"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1,700</w:t>
            </w:r>
          </w:p>
        </w:tc>
      </w:tr>
      <w:tr w:rsidR="00AC2D21" w:rsidRPr="00AC2D21" w14:paraId="57DD5F17" w14:textId="77777777" w:rsidTr="00AC2D21">
        <w:trPr>
          <w:gridAfter w:val="1"/>
          <w:wAfter w:w="1553" w:type="dxa"/>
          <w:trHeight w:val="336"/>
        </w:trPr>
        <w:tc>
          <w:tcPr>
            <w:tcW w:w="5101" w:type="dxa"/>
            <w:tcMar>
              <w:top w:w="24" w:type="dxa"/>
              <w:left w:w="120" w:type="dxa"/>
              <w:bottom w:w="24" w:type="dxa"/>
              <w:right w:w="120" w:type="dxa"/>
            </w:tcMar>
            <w:hideMark/>
          </w:tcPr>
          <w:p w14:paraId="4460DE94"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Inventarios</w:t>
            </w:r>
          </w:p>
        </w:tc>
        <w:tc>
          <w:tcPr>
            <w:tcW w:w="0" w:type="auto"/>
            <w:gridSpan w:val="2"/>
            <w:tcMar>
              <w:top w:w="24" w:type="dxa"/>
              <w:left w:w="120" w:type="dxa"/>
              <w:bottom w:w="24" w:type="dxa"/>
              <w:right w:w="120" w:type="dxa"/>
            </w:tcMar>
            <w:hideMark/>
          </w:tcPr>
          <w:p w14:paraId="5347ABBB"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Borders>
              <w:bottom w:val="single" w:sz="6" w:space="0" w:color="000000"/>
            </w:tcBorders>
            <w:tcMar>
              <w:top w:w="24" w:type="dxa"/>
              <w:left w:w="120" w:type="dxa"/>
              <w:bottom w:w="24" w:type="dxa"/>
              <w:right w:w="120" w:type="dxa"/>
            </w:tcMar>
            <w:hideMark/>
          </w:tcPr>
          <w:p w14:paraId="7F940836"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1,000</w:t>
            </w:r>
          </w:p>
        </w:tc>
        <w:tc>
          <w:tcPr>
            <w:tcW w:w="0" w:type="auto"/>
            <w:gridSpan w:val="2"/>
            <w:tcMar>
              <w:top w:w="24" w:type="dxa"/>
              <w:left w:w="120" w:type="dxa"/>
              <w:bottom w:w="24" w:type="dxa"/>
              <w:right w:w="120" w:type="dxa"/>
            </w:tcMar>
            <w:hideMark/>
          </w:tcPr>
          <w:p w14:paraId="6D0BF34E"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Borders>
              <w:bottom w:val="single" w:sz="6" w:space="0" w:color="000000"/>
            </w:tcBorders>
            <w:tcMar>
              <w:top w:w="24" w:type="dxa"/>
              <w:left w:w="120" w:type="dxa"/>
              <w:bottom w:w="24" w:type="dxa"/>
              <w:right w:w="120" w:type="dxa"/>
            </w:tcMar>
            <w:hideMark/>
          </w:tcPr>
          <w:p w14:paraId="7E81E28E"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1,950</w:t>
            </w:r>
          </w:p>
        </w:tc>
      </w:tr>
      <w:tr w:rsidR="00AC2D21" w:rsidRPr="00AC2D21" w14:paraId="5F52F251" w14:textId="77777777" w:rsidTr="00AC2D21">
        <w:trPr>
          <w:gridAfter w:val="1"/>
          <w:wAfter w:w="1553" w:type="dxa"/>
          <w:trHeight w:val="336"/>
        </w:trPr>
        <w:tc>
          <w:tcPr>
            <w:tcW w:w="5101" w:type="dxa"/>
            <w:tcMar>
              <w:top w:w="24" w:type="dxa"/>
              <w:left w:w="240" w:type="dxa"/>
              <w:bottom w:w="24" w:type="dxa"/>
              <w:right w:w="120" w:type="dxa"/>
            </w:tcMar>
            <w:hideMark/>
          </w:tcPr>
          <w:p w14:paraId="6295D8C9"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Activos circulantes</w:t>
            </w:r>
          </w:p>
        </w:tc>
        <w:tc>
          <w:tcPr>
            <w:tcW w:w="0" w:type="auto"/>
            <w:gridSpan w:val="2"/>
            <w:tcMar>
              <w:top w:w="24" w:type="dxa"/>
              <w:left w:w="120" w:type="dxa"/>
              <w:bottom w:w="24" w:type="dxa"/>
              <w:right w:w="120" w:type="dxa"/>
            </w:tcMar>
            <w:hideMark/>
          </w:tcPr>
          <w:p w14:paraId="29AA7249"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0AEF1724"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4,630</w:t>
            </w:r>
          </w:p>
        </w:tc>
        <w:tc>
          <w:tcPr>
            <w:tcW w:w="0" w:type="auto"/>
            <w:gridSpan w:val="2"/>
            <w:tcMar>
              <w:top w:w="24" w:type="dxa"/>
              <w:left w:w="120" w:type="dxa"/>
              <w:bottom w:w="24" w:type="dxa"/>
              <w:right w:w="120" w:type="dxa"/>
            </w:tcMar>
            <w:hideMark/>
          </w:tcPr>
          <w:p w14:paraId="11577189"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62AB43BF"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4,910</w:t>
            </w:r>
          </w:p>
        </w:tc>
      </w:tr>
      <w:tr w:rsidR="00AC2D21" w:rsidRPr="00AC2D21" w14:paraId="4E0110AA" w14:textId="77777777" w:rsidTr="00AC2D21">
        <w:trPr>
          <w:trHeight w:val="336"/>
        </w:trPr>
        <w:tc>
          <w:tcPr>
            <w:tcW w:w="9781" w:type="dxa"/>
            <w:gridSpan w:val="10"/>
            <w:tcMar>
              <w:top w:w="24" w:type="dxa"/>
              <w:left w:w="120" w:type="dxa"/>
              <w:bottom w:w="24" w:type="dxa"/>
              <w:right w:w="120" w:type="dxa"/>
            </w:tcMar>
            <w:hideMark/>
          </w:tcPr>
          <w:p w14:paraId="0C26F7E7"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r>
      <w:tr w:rsidR="00AC2D21" w:rsidRPr="00AC2D21" w14:paraId="781716FC" w14:textId="77777777" w:rsidTr="00AC2D21">
        <w:trPr>
          <w:trHeight w:val="336"/>
        </w:trPr>
        <w:tc>
          <w:tcPr>
            <w:tcW w:w="5812" w:type="dxa"/>
            <w:gridSpan w:val="2"/>
            <w:tcMar>
              <w:top w:w="24" w:type="dxa"/>
              <w:left w:w="120" w:type="dxa"/>
              <w:bottom w:w="24" w:type="dxa"/>
              <w:right w:w="120" w:type="dxa"/>
            </w:tcMar>
            <w:hideMark/>
          </w:tcPr>
          <w:p w14:paraId="19E928FF"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Inversión permanente en acciones</w:t>
            </w:r>
          </w:p>
        </w:tc>
        <w:tc>
          <w:tcPr>
            <w:tcW w:w="0" w:type="auto"/>
            <w:gridSpan w:val="2"/>
            <w:tcMar>
              <w:top w:w="24" w:type="dxa"/>
              <w:left w:w="120" w:type="dxa"/>
              <w:bottom w:w="24" w:type="dxa"/>
              <w:right w:w="120" w:type="dxa"/>
            </w:tcMar>
            <w:hideMark/>
          </w:tcPr>
          <w:p w14:paraId="20D66CF2"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5D1E3D21"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900</w:t>
            </w:r>
          </w:p>
        </w:tc>
        <w:tc>
          <w:tcPr>
            <w:tcW w:w="0" w:type="auto"/>
            <w:gridSpan w:val="2"/>
            <w:tcMar>
              <w:top w:w="24" w:type="dxa"/>
              <w:left w:w="120" w:type="dxa"/>
              <w:bottom w:w="24" w:type="dxa"/>
              <w:right w:w="120" w:type="dxa"/>
            </w:tcMar>
            <w:hideMark/>
          </w:tcPr>
          <w:p w14:paraId="6C1C042F"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09D9802E"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900</w:t>
            </w:r>
          </w:p>
        </w:tc>
      </w:tr>
      <w:tr w:rsidR="00AC2D21" w:rsidRPr="00AC2D21" w14:paraId="56A11133" w14:textId="77777777" w:rsidTr="00AC2D21">
        <w:trPr>
          <w:trHeight w:val="336"/>
        </w:trPr>
        <w:tc>
          <w:tcPr>
            <w:tcW w:w="5812" w:type="dxa"/>
            <w:gridSpan w:val="2"/>
            <w:tcMar>
              <w:top w:w="24" w:type="dxa"/>
              <w:left w:w="120" w:type="dxa"/>
              <w:bottom w:w="24" w:type="dxa"/>
              <w:right w:w="120" w:type="dxa"/>
            </w:tcMar>
            <w:hideMark/>
          </w:tcPr>
          <w:p w14:paraId="28D9BD2E"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Propiedades, planta y equipo (neto)</w:t>
            </w:r>
          </w:p>
        </w:tc>
        <w:tc>
          <w:tcPr>
            <w:tcW w:w="0" w:type="auto"/>
            <w:gridSpan w:val="2"/>
            <w:tcMar>
              <w:top w:w="24" w:type="dxa"/>
              <w:left w:w="120" w:type="dxa"/>
              <w:bottom w:w="24" w:type="dxa"/>
              <w:right w:w="120" w:type="dxa"/>
            </w:tcMar>
            <w:hideMark/>
          </w:tcPr>
          <w:p w14:paraId="443B5C76"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3456F109" w14:textId="77777777" w:rsidR="00AC2D21" w:rsidRPr="00AC2D21" w:rsidRDefault="00AC2D21" w:rsidP="00AC2D21">
            <w:pPr>
              <w:spacing w:line="480" w:lineRule="auto"/>
              <w:rPr>
                <w:rFonts w:ascii="Helvetica" w:eastAsia="Times New Roman" w:hAnsi="Helvetica" w:cs="Times New Roman"/>
                <w:sz w:val="22"/>
                <w:szCs w:val="22"/>
                <w:lang w:eastAsia="es-MX"/>
              </w:rPr>
            </w:pPr>
          </w:p>
        </w:tc>
        <w:tc>
          <w:tcPr>
            <w:tcW w:w="0" w:type="auto"/>
            <w:gridSpan w:val="2"/>
            <w:tcMar>
              <w:top w:w="24" w:type="dxa"/>
              <w:left w:w="120" w:type="dxa"/>
              <w:bottom w:w="24" w:type="dxa"/>
              <w:right w:w="120" w:type="dxa"/>
            </w:tcMar>
            <w:hideMark/>
          </w:tcPr>
          <w:p w14:paraId="0669BBC4" w14:textId="77777777" w:rsidR="00AC2D21" w:rsidRPr="00AC2D21" w:rsidRDefault="00AC2D21" w:rsidP="00AC2D21">
            <w:pPr>
              <w:spacing w:line="480" w:lineRule="auto"/>
              <w:jc w:val="right"/>
              <w:rPr>
                <w:rFonts w:ascii="Helvetica" w:eastAsia="Times New Roman" w:hAnsi="Helvetica" w:cs="Times New Roman"/>
                <w:sz w:val="22"/>
                <w:szCs w:val="22"/>
                <w:lang w:eastAsia="es-MX"/>
              </w:rPr>
            </w:pPr>
          </w:p>
        </w:tc>
        <w:tc>
          <w:tcPr>
            <w:tcW w:w="0" w:type="auto"/>
            <w:gridSpan w:val="2"/>
            <w:tcMar>
              <w:top w:w="24" w:type="dxa"/>
              <w:left w:w="120" w:type="dxa"/>
              <w:bottom w:w="24" w:type="dxa"/>
              <w:right w:w="120" w:type="dxa"/>
            </w:tcMar>
            <w:hideMark/>
          </w:tcPr>
          <w:p w14:paraId="21550B59" w14:textId="77777777" w:rsidR="00AC2D21" w:rsidRPr="00AC2D21" w:rsidRDefault="00AC2D21" w:rsidP="00AC2D21">
            <w:pPr>
              <w:spacing w:line="480" w:lineRule="auto"/>
              <w:rPr>
                <w:rFonts w:ascii="Helvetica" w:eastAsia="Times New Roman" w:hAnsi="Helvetica" w:cs="Times New Roman"/>
                <w:sz w:val="22"/>
                <w:szCs w:val="22"/>
                <w:lang w:eastAsia="es-MX"/>
              </w:rPr>
            </w:pPr>
          </w:p>
        </w:tc>
      </w:tr>
      <w:tr w:rsidR="00AC2D21" w:rsidRPr="00AC2D21" w14:paraId="5CA07609" w14:textId="77777777" w:rsidTr="00AC2D21">
        <w:trPr>
          <w:trHeight w:val="336"/>
        </w:trPr>
        <w:tc>
          <w:tcPr>
            <w:tcW w:w="5812" w:type="dxa"/>
            <w:gridSpan w:val="2"/>
            <w:tcMar>
              <w:top w:w="24" w:type="dxa"/>
              <w:left w:w="120" w:type="dxa"/>
              <w:bottom w:w="24" w:type="dxa"/>
              <w:right w:w="120" w:type="dxa"/>
            </w:tcMar>
            <w:hideMark/>
          </w:tcPr>
          <w:p w14:paraId="7C1DB062"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Costo de adquisición</w:t>
            </w:r>
          </w:p>
        </w:tc>
        <w:tc>
          <w:tcPr>
            <w:tcW w:w="0" w:type="auto"/>
            <w:gridSpan w:val="2"/>
            <w:tcMar>
              <w:top w:w="24" w:type="dxa"/>
              <w:left w:w="120" w:type="dxa"/>
              <w:bottom w:w="24" w:type="dxa"/>
              <w:right w:w="120" w:type="dxa"/>
            </w:tcMar>
            <w:hideMark/>
          </w:tcPr>
          <w:p w14:paraId="1A049E28"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3E34366E"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3,730</w:t>
            </w:r>
          </w:p>
        </w:tc>
        <w:tc>
          <w:tcPr>
            <w:tcW w:w="0" w:type="auto"/>
            <w:gridSpan w:val="2"/>
            <w:tcMar>
              <w:top w:w="24" w:type="dxa"/>
              <w:left w:w="120" w:type="dxa"/>
              <w:bottom w:w="24" w:type="dxa"/>
              <w:right w:w="120" w:type="dxa"/>
            </w:tcMar>
            <w:hideMark/>
          </w:tcPr>
          <w:p w14:paraId="7418E1E4"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799ED00D"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1,910</w:t>
            </w:r>
          </w:p>
        </w:tc>
      </w:tr>
      <w:tr w:rsidR="00AC2D21" w:rsidRPr="00AC2D21" w14:paraId="197689CF" w14:textId="77777777" w:rsidTr="00AC2D21">
        <w:trPr>
          <w:trHeight w:val="336"/>
        </w:trPr>
        <w:tc>
          <w:tcPr>
            <w:tcW w:w="5812" w:type="dxa"/>
            <w:gridSpan w:val="2"/>
            <w:tcMar>
              <w:top w:w="24" w:type="dxa"/>
              <w:left w:w="120" w:type="dxa"/>
              <w:bottom w:w="24" w:type="dxa"/>
              <w:right w:w="120" w:type="dxa"/>
            </w:tcMar>
            <w:hideMark/>
          </w:tcPr>
          <w:p w14:paraId="12DD2617"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Depreciación acumulada</w:t>
            </w:r>
          </w:p>
        </w:tc>
        <w:tc>
          <w:tcPr>
            <w:tcW w:w="0" w:type="auto"/>
            <w:gridSpan w:val="2"/>
            <w:tcMar>
              <w:top w:w="24" w:type="dxa"/>
              <w:left w:w="120" w:type="dxa"/>
              <w:bottom w:w="24" w:type="dxa"/>
              <w:right w:w="120" w:type="dxa"/>
            </w:tcMar>
            <w:hideMark/>
          </w:tcPr>
          <w:p w14:paraId="490B0CA2"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Borders>
              <w:bottom w:val="single" w:sz="6" w:space="0" w:color="000000"/>
            </w:tcBorders>
            <w:tcMar>
              <w:top w:w="24" w:type="dxa"/>
              <w:left w:w="120" w:type="dxa"/>
              <w:bottom w:w="24" w:type="dxa"/>
              <w:right w:w="120" w:type="dxa"/>
            </w:tcMar>
            <w:hideMark/>
          </w:tcPr>
          <w:p w14:paraId="47F0793E"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1,450</w:t>
            </w:r>
          </w:p>
        </w:tc>
        <w:tc>
          <w:tcPr>
            <w:tcW w:w="0" w:type="auto"/>
            <w:gridSpan w:val="2"/>
            <w:tcMar>
              <w:top w:w="24" w:type="dxa"/>
              <w:left w:w="120" w:type="dxa"/>
              <w:bottom w:w="24" w:type="dxa"/>
              <w:right w:w="120" w:type="dxa"/>
            </w:tcMar>
            <w:hideMark/>
          </w:tcPr>
          <w:p w14:paraId="6F6829EB"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Borders>
              <w:bottom w:val="single" w:sz="6" w:space="0" w:color="000000"/>
            </w:tcBorders>
            <w:tcMar>
              <w:top w:w="24" w:type="dxa"/>
              <w:left w:w="120" w:type="dxa"/>
              <w:bottom w:w="24" w:type="dxa"/>
              <w:right w:w="120" w:type="dxa"/>
            </w:tcMar>
            <w:hideMark/>
          </w:tcPr>
          <w:p w14:paraId="0A1D19E1"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1,060</w:t>
            </w:r>
          </w:p>
        </w:tc>
      </w:tr>
      <w:tr w:rsidR="00AC2D21" w:rsidRPr="00AC2D21" w14:paraId="6ED1A196" w14:textId="77777777" w:rsidTr="00AC2D21">
        <w:trPr>
          <w:trHeight w:val="336"/>
        </w:trPr>
        <w:tc>
          <w:tcPr>
            <w:tcW w:w="5812" w:type="dxa"/>
            <w:gridSpan w:val="2"/>
            <w:tcMar>
              <w:top w:w="24" w:type="dxa"/>
              <w:left w:w="240" w:type="dxa"/>
              <w:bottom w:w="24" w:type="dxa"/>
              <w:right w:w="120" w:type="dxa"/>
            </w:tcMar>
            <w:hideMark/>
          </w:tcPr>
          <w:p w14:paraId="73917F19"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Neto</w:t>
            </w:r>
          </w:p>
        </w:tc>
        <w:tc>
          <w:tcPr>
            <w:tcW w:w="0" w:type="auto"/>
            <w:gridSpan w:val="2"/>
            <w:tcMar>
              <w:top w:w="24" w:type="dxa"/>
              <w:left w:w="120" w:type="dxa"/>
              <w:bottom w:w="24" w:type="dxa"/>
              <w:right w:w="120" w:type="dxa"/>
            </w:tcMar>
            <w:hideMark/>
          </w:tcPr>
          <w:p w14:paraId="2FC5C510"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5125CEB4"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2,280</w:t>
            </w:r>
          </w:p>
        </w:tc>
        <w:tc>
          <w:tcPr>
            <w:tcW w:w="0" w:type="auto"/>
            <w:gridSpan w:val="2"/>
            <w:tcMar>
              <w:top w:w="24" w:type="dxa"/>
              <w:left w:w="120" w:type="dxa"/>
              <w:bottom w:w="24" w:type="dxa"/>
              <w:right w:w="120" w:type="dxa"/>
            </w:tcMar>
            <w:hideMark/>
          </w:tcPr>
          <w:p w14:paraId="3277ABB4"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3402E9D7"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850</w:t>
            </w:r>
          </w:p>
        </w:tc>
      </w:tr>
      <w:tr w:rsidR="00AC2D21" w:rsidRPr="00AC2D21" w14:paraId="20B7F81F" w14:textId="77777777" w:rsidTr="00AC2D21">
        <w:trPr>
          <w:trHeight w:val="336"/>
        </w:trPr>
        <w:tc>
          <w:tcPr>
            <w:tcW w:w="9781" w:type="dxa"/>
            <w:gridSpan w:val="10"/>
            <w:tcMar>
              <w:top w:w="24" w:type="dxa"/>
              <w:left w:w="120" w:type="dxa"/>
              <w:bottom w:w="24" w:type="dxa"/>
              <w:right w:w="120" w:type="dxa"/>
            </w:tcMar>
            <w:hideMark/>
          </w:tcPr>
          <w:p w14:paraId="7B30F871"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r>
      <w:tr w:rsidR="00AC2D21" w:rsidRPr="00AC2D21" w14:paraId="1E7C314D" w14:textId="77777777" w:rsidTr="00AC2D21">
        <w:trPr>
          <w:trHeight w:val="336"/>
        </w:trPr>
        <w:tc>
          <w:tcPr>
            <w:tcW w:w="5812" w:type="dxa"/>
            <w:gridSpan w:val="2"/>
            <w:tcMar>
              <w:top w:w="24" w:type="dxa"/>
              <w:left w:w="120" w:type="dxa"/>
              <w:bottom w:w="24" w:type="dxa"/>
              <w:right w:w="120" w:type="dxa"/>
            </w:tcMar>
            <w:hideMark/>
          </w:tcPr>
          <w:p w14:paraId="4CB6747C"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Crédito mercantil</w:t>
            </w:r>
          </w:p>
        </w:tc>
        <w:tc>
          <w:tcPr>
            <w:tcW w:w="0" w:type="auto"/>
            <w:gridSpan w:val="2"/>
            <w:tcMar>
              <w:top w:w="24" w:type="dxa"/>
              <w:left w:w="120" w:type="dxa"/>
              <w:bottom w:w="24" w:type="dxa"/>
              <w:right w:w="120" w:type="dxa"/>
            </w:tcMar>
            <w:hideMark/>
          </w:tcPr>
          <w:p w14:paraId="0E9F8DDE"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Borders>
              <w:bottom w:val="single" w:sz="6" w:space="0" w:color="000000"/>
            </w:tcBorders>
            <w:tcMar>
              <w:top w:w="24" w:type="dxa"/>
              <w:left w:w="120" w:type="dxa"/>
              <w:bottom w:w="24" w:type="dxa"/>
              <w:right w:w="120" w:type="dxa"/>
            </w:tcMar>
            <w:hideMark/>
          </w:tcPr>
          <w:p w14:paraId="1A1248CE"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100</w:t>
            </w:r>
          </w:p>
        </w:tc>
        <w:tc>
          <w:tcPr>
            <w:tcW w:w="0" w:type="auto"/>
            <w:gridSpan w:val="2"/>
            <w:tcMar>
              <w:top w:w="24" w:type="dxa"/>
              <w:left w:w="120" w:type="dxa"/>
              <w:bottom w:w="24" w:type="dxa"/>
              <w:right w:w="120" w:type="dxa"/>
            </w:tcMar>
            <w:hideMark/>
          </w:tcPr>
          <w:p w14:paraId="4A7FC16E"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Borders>
              <w:bottom w:val="single" w:sz="6" w:space="0" w:color="000000"/>
            </w:tcBorders>
            <w:tcMar>
              <w:top w:w="24" w:type="dxa"/>
              <w:left w:w="120" w:type="dxa"/>
              <w:bottom w:w="24" w:type="dxa"/>
              <w:right w:w="120" w:type="dxa"/>
            </w:tcMar>
            <w:hideMark/>
          </w:tcPr>
          <w:p w14:paraId="222C7473" w14:textId="77777777" w:rsidR="00AC2D21" w:rsidRPr="00AC2D21" w:rsidRDefault="00AC2D21" w:rsidP="00AC2D21">
            <w:pPr>
              <w:spacing w:line="480" w:lineRule="auto"/>
              <w:rPr>
                <w:rFonts w:ascii="Helvetica" w:eastAsia="Times New Roman" w:hAnsi="Helvetica" w:cs="Times New Roman"/>
                <w:sz w:val="22"/>
                <w:szCs w:val="22"/>
                <w:lang w:eastAsia="es-MX"/>
              </w:rPr>
            </w:pPr>
          </w:p>
        </w:tc>
      </w:tr>
      <w:tr w:rsidR="00AC2D21" w:rsidRPr="00AC2D21" w14:paraId="0DDBB79C" w14:textId="77777777" w:rsidTr="00AC2D21">
        <w:trPr>
          <w:trHeight w:val="336"/>
        </w:trPr>
        <w:tc>
          <w:tcPr>
            <w:tcW w:w="5812" w:type="dxa"/>
            <w:gridSpan w:val="2"/>
            <w:tcMar>
              <w:top w:w="24" w:type="dxa"/>
              <w:left w:w="120" w:type="dxa"/>
              <w:bottom w:w="24" w:type="dxa"/>
              <w:right w:w="120" w:type="dxa"/>
            </w:tcMar>
            <w:hideMark/>
          </w:tcPr>
          <w:p w14:paraId="1D7C226E" w14:textId="77777777" w:rsidR="00AC2D21" w:rsidRPr="00AC2D21" w:rsidRDefault="00AC2D21" w:rsidP="00AC2D21">
            <w:pPr>
              <w:spacing w:line="480" w:lineRule="auto"/>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Total de activos</w:t>
            </w:r>
          </w:p>
        </w:tc>
        <w:tc>
          <w:tcPr>
            <w:tcW w:w="0" w:type="auto"/>
            <w:gridSpan w:val="2"/>
            <w:tcMar>
              <w:top w:w="24" w:type="dxa"/>
              <w:left w:w="120" w:type="dxa"/>
              <w:bottom w:w="24" w:type="dxa"/>
              <w:right w:w="120" w:type="dxa"/>
            </w:tcMar>
            <w:hideMark/>
          </w:tcPr>
          <w:p w14:paraId="3E418611" w14:textId="77777777" w:rsidR="00AC2D21" w:rsidRPr="00AC2D21" w:rsidRDefault="00AC2D21" w:rsidP="00AC2D21">
            <w:pPr>
              <w:spacing w:line="480" w:lineRule="auto"/>
              <w:rPr>
                <w:rFonts w:ascii="Helvetica" w:eastAsia="Times New Roman" w:hAnsi="Helvetica" w:cs="Arial"/>
                <w:b/>
                <w:bCs/>
                <w:color w:val="000000"/>
                <w:sz w:val="22"/>
                <w:szCs w:val="22"/>
                <w:lang w:eastAsia="es-MX"/>
              </w:rPr>
            </w:pPr>
          </w:p>
        </w:tc>
        <w:tc>
          <w:tcPr>
            <w:tcW w:w="0" w:type="auto"/>
            <w:gridSpan w:val="2"/>
            <w:tcBorders>
              <w:bottom w:val="double" w:sz="6" w:space="0" w:color="auto"/>
            </w:tcBorders>
            <w:tcMar>
              <w:top w:w="24" w:type="dxa"/>
              <w:left w:w="120" w:type="dxa"/>
              <w:bottom w:w="24" w:type="dxa"/>
              <w:right w:w="120" w:type="dxa"/>
            </w:tcMar>
            <w:hideMark/>
          </w:tcPr>
          <w:p w14:paraId="72C1052D"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$7,910</w:t>
            </w:r>
          </w:p>
        </w:tc>
        <w:tc>
          <w:tcPr>
            <w:tcW w:w="0" w:type="auto"/>
            <w:gridSpan w:val="2"/>
            <w:tcMar>
              <w:top w:w="24" w:type="dxa"/>
              <w:left w:w="120" w:type="dxa"/>
              <w:bottom w:w="24" w:type="dxa"/>
              <w:right w:w="120" w:type="dxa"/>
            </w:tcMar>
            <w:hideMark/>
          </w:tcPr>
          <w:p w14:paraId="71F088BB"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p>
        </w:tc>
        <w:tc>
          <w:tcPr>
            <w:tcW w:w="0" w:type="auto"/>
            <w:gridSpan w:val="2"/>
            <w:tcBorders>
              <w:bottom w:val="double" w:sz="6" w:space="0" w:color="auto"/>
            </w:tcBorders>
            <w:tcMar>
              <w:top w:w="24" w:type="dxa"/>
              <w:left w:w="120" w:type="dxa"/>
              <w:bottom w:w="24" w:type="dxa"/>
              <w:right w:w="120" w:type="dxa"/>
            </w:tcMar>
            <w:hideMark/>
          </w:tcPr>
          <w:p w14:paraId="33BA51AA"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$6,660</w:t>
            </w:r>
          </w:p>
        </w:tc>
      </w:tr>
      <w:tr w:rsidR="00AC2D21" w:rsidRPr="00AC2D21" w14:paraId="72B5171F" w14:textId="77777777" w:rsidTr="00AC2D21">
        <w:trPr>
          <w:trHeight w:val="336"/>
        </w:trPr>
        <w:tc>
          <w:tcPr>
            <w:tcW w:w="9781" w:type="dxa"/>
            <w:gridSpan w:val="10"/>
            <w:tcMar>
              <w:top w:w="24" w:type="dxa"/>
              <w:left w:w="120" w:type="dxa"/>
              <w:bottom w:w="24" w:type="dxa"/>
              <w:right w:w="120" w:type="dxa"/>
            </w:tcMar>
            <w:hideMark/>
          </w:tcPr>
          <w:p w14:paraId="411F8EC6"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p>
        </w:tc>
      </w:tr>
      <w:tr w:rsidR="00AC2D21" w:rsidRPr="00AC2D21" w14:paraId="7CF218AF" w14:textId="77777777" w:rsidTr="00AC2D21">
        <w:trPr>
          <w:trHeight w:val="336"/>
        </w:trPr>
        <w:tc>
          <w:tcPr>
            <w:tcW w:w="5812" w:type="dxa"/>
            <w:gridSpan w:val="2"/>
            <w:tcMar>
              <w:top w:w="24" w:type="dxa"/>
              <w:left w:w="120" w:type="dxa"/>
              <w:bottom w:w="24" w:type="dxa"/>
              <w:right w:w="120" w:type="dxa"/>
            </w:tcMar>
            <w:hideMark/>
          </w:tcPr>
          <w:p w14:paraId="2844EE42" w14:textId="77777777" w:rsidR="00AC2D21" w:rsidRPr="00AC2D21" w:rsidRDefault="00AC2D21" w:rsidP="00AC2D21">
            <w:pPr>
              <w:spacing w:line="480" w:lineRule="auto"/>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Pasivos</w:t>
            </w:r>
          </w:p>
        </w:tc>
        <w:tc>
          <w:tcPr>
            <w:tcW w:w="0" w:type="auto"/>
            <w:gridSpan w:val="2"/>
            <w:tcMar>
              <w:top w:w="24" w:type="dxa"/>
              <w:left w:w="120" w:type="dxa"/>
              <w:bottom w:w="24" w:type="dxa"/>
              <w:right w:w="120" w:type="dxa"/>
            </w:tcMar>
            <w:hideMark/>
          </w:tcPr>
          <w:p w14:paraId="77752653" w14:textId="77777777" w:rsidR="00AC2D21" w:rsidRPr="00AC2D21" w:rsidRDefault="00AC2D21" w:rsidP="00AC2D21">
            <w:pPr>
              <w:spacing w:line="480" w:lineRule="auto"/>
              <w:rPr>
                <w:rFonts w:ascii="Helvetica" w:eastAsia="Times New Roman" w:hAnsi="Helvetica" w:cs="Arial"/>
                <w:b/>
                <w:bCs/>
                <w:color w:val="000000"/>
                <w:sz w:val="22"/>
                <w:szCs w:val="22"/>
                <w:lang w:eastAsia="es-MX"/>
              </w:rPr>
            </w:pPr>
          </w:p>
        </w:tc>
        <w:tc>
          <w:tcPr>
            <w:tcW w:w="0" w:type="auto"/>
            <w:gridSpan w:val="2"/>
            <w:tcMar>
              <w:top w:w="24" w:type="dxa"/>
              <w:left w:w="120" w:type="dxa"/>
              <w:bottom w:w="24" w:type="dxa"/>
              <w:right w:w="120" w:type="dxa"/>
            </w:tcMar>
            <w:hideMark/>
          </w:tcPr>
          <w:p w14:paraId="644C41E0" w14:textId="77777777" w:rsidR="00AC2D21" w:rsidRPr="00AC2D21" w:rsidRDefault="00AC2D21" w:rsidP="00AC2D21">
            <w:pPr>
              <w:spacing w:line="480" w:lineRule="auto"/>
              <w:rPr>
                <w:rFonts w:ascii="Helvetica" w:eastAsia="Times New Roman" w:hAnsi="Helvetica" w:cs="Times New Roman"/>
                <w:sz w:val="22"/>
                <w:szCs w:val="22"/>
                <w:lang w:eastAsia="es-MX"/>
              </w:rPr>
            </w:pPr>
          </w:p>
        </w:tc>
        <w:tc>
          <w:tcPr>
            <w:tcW w:w="0" w:type="auto"/>
            <w:gridSpan w:val="2"/>
            <w:tcMar>
              <w:top w:w="24" w:type="dxa"/>
              <w:left w:w="120" w:type="dxa"/>
              <w:bottom w:w="24" w:type="dxa"/>
              <w:right w:w="120" w:type="dxa"/>
            </w:tcMar>
            <w:hideMark/>
          </w:tcPr>
          <w:p w14:paraId="5C8814CD" w14:textId="77777777" w:rsidR="00AC2D21" w:rsidRPr="00AC2D21" w:rsidRDefault="00AC2D21" w:rsidP="00AC2D21">
            <w:pPr>
              <w:spacing w:line="480" w:lineRule="auto"/>
              <w:jc w:val="right"/>
              <w:rPr>
                <w:rFonts w:ascii="Helvetica" w:eastAsia="Times New Roman" w:hAnsi="Helvetica" w:cs="Times New Roman"/>
                <w:sz w:val="22"/>
                <w:szCs w:val="22"/>
                <w:lang w:eastAsia="es-MX"/>
              </w:rPr>
            </w:pPr>
          </w:p>
        </w:tc>
        <w:tc>
          <w:tcPr>
            <w:tcW w:w="0" w:type="auto"/>
            <w:gridSpan w:val="2"/>
            <w:tcMar>
              <w:top w:w="24" w:type="dxa"/>
              <w:left w:w="120" w:type="dxa"/>
              <w:bottom w:w="24" w:type="dxa"/>
              <w:right w:w="120" w:type="dxa"/>
            </w:tcMar>
            <w:hideMark/>
          </w:tcPr>
          <w:p w14:paraId="6B92E1EC" w14:textId="77777777" w:rsidR="00AC2D21" w:rsidRPr="00AC2D21" w:rsidRDefault="00AC2D21" w:rsidP="00AC2D21">
            <w:pPr>
              <w:spacing w:line="480" w:lineRule="auto"/>
              <w:rPr>
                <w:rFonts w:ascii="Helvetica" w:eastAsia="Times New Roman" w:hAnsi="Helvetica" w:cs="Times New Roman"/>
                <w:sz w:val="22"/>
                <w:szCs w:val="22"/>
                <w:lang w:eastAsia="es-MX"/>
              </w:rPr>
            </w:pPr>
          </w:p>
        </w:tc>
      </w:tr>
      <w:tr w:rsidR="00AC2D21" w:rsidRPr="00AC2D21" w14:paraId="39EF8F87" w14:textId="77777777" w:rsidTr="00AC2D21">
        <w:trPr>
          <w:trHeight w:val="336"/>
        </w:trPr>
        <w:tc>
          <w:tcPr>
            <w:tcW w:w="5812" w:type="dxa"/>
            <w:gridSpan w:val="2"/>
            <w:tcMar>
              <w:top w:w="24" w:type="dxa"/>
              <w:left w:w="120" w:type="dxa"/>
              <w:bottom w:w="24" w:type="dxa"/>
              <w:right w:w="120" w:type="dxa"/>
            </w:tcMar>
            <w:hideMark/>
          </w:tcPr>
          <w:p w14:paraId="6EA9FED0"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Proveedores</w:t>
            </w:r>
          </w:p>
        </w:tc>
        <w:tc>
          <w:tcPr>
            <w:tcW w:w="0" w:type="auto"/>
            <w:gridSpan w:val="2"/>
            <w:tcMar>
              <w:top w:w="24" w:type="dxa"/>
              <w:left w:w="120" w:type="dxa"/>
              <w:bottom w:w="24" w:type="dxa"/>
              <w:right w:w="120" w:type="dxa"/>
            </w:tcMar>
            <w:hideMark/>
          </w:tcPr>
          <w:p w14:paraId="0AA15A8A"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6B1B260A"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$250</w:t>
            </w:r>
          </w:p>
        </w:tc>
        <w:tc>
          <w:tcPr>
            <w:tcW w:w="0" w:type="auto"/>
            <w:gridSpan w:val="2"/>
            <w:tcMar>
              <w:top w:w="24" w:type="dxa"/>
              <w:left w:w="120" w:type="dxa"/>
              <w:bottom w:w="24" w:type="dxa"/>
              <w:right w:w="120" w:type="dxa"/>
            </w:tcMar>
            <w:hideMark/>
          </w:tcPr>
          <w:p w14:paraId="0B8F3988"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109EDF77"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$1,890</w:t>
            </w:r>
          </w:p>
        </w:tc>
      </w:tr>
      <w:tr w:rsidR="00AC2D21" w:rsidRPr="00AC2D21" w14:paraId="4BE604CC" w14:textId="77777777" w:rsidTr="00AC2D21">
        <w:trPr>
          <w:trHeight w:val="336"/>
        </w:trPr>
        <w:tc>
          <w:tcPr>
            <w:tcW w:w="5812" w:type="dxa"/>
            <w:gridSpan w:val="2"/>
            <w:tcMar>
              <w:top w:w="24" w:type="dxa"/>
              <w:left w:w="120" w:type="dxa"/>
              <w:bottom w:w="24" w:type="dxa"/>
              <w:right w:w="120" w:type="dxa"/>
            </w:tcMar>
            <w:hideMark/>
          </w:tcPr>
          <w:p w14:paraId="366209D5"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Intereses por pagar</w:t>
            </w:r>
          </w:p>
        </w:tc>
        <w:tc>
          <w:tcPr>
            <w:tcW w:w="0" w:type="auto"/>
            <w:gridSpan w:val="2"/>
            <w:tcMar>
              <w:top w:w="24" w:type="dxa"/>
              <w:left w:w="120" w:type="dxa"/>
              <w:bottom w:w="24" w:type="dxa"/>
              <w:right w:w="120" w:type="dxa"/>
            </w:tcMar>
            <w:hideMark/>
          </w:tcPr>
          <w:p w14:paraId="6A1FF769"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67635879"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230</w:t>
            </w:r>
          </w:p>
        </w:tc>
        <w:tc>
          <w:tcPr>
            <w:tcW w:w="0" w:type="auto"/>
            <w:gridSpan w:val="2"/>
            <w:tcMar>
              <w:top w:w="24" w:type="dxa"/>
              <w:left w:w="120" w:type="dxa"/>
              <w:bottom w:w="24" w:type="dxa"/>
              <w:right w:w="120" w:type="dxa"/>
            </w:tcMar>
            <w:hideMark/>
          </w:tcPr>
          <w:p w14:paraId="69461849"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411E8BCD"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100</w:t>
            </w:r>
          </w:p>
        </w:tc>
      </w:tr>
      <w:tr w:rsidR="00AC2D21" w:rsidRPr="00AC2D21" w14:paraId="77625F43" w14:textId="77777777" w:rsidTr="00AC2D21">
        <w:trPr>
          <w:trHeight w:val="336"/>
        </w:trPr>
        <w:tc>
          <w:tcPr>
            <w:tcW w:w="5812" w:type="dxa"/>
            <w:gridSpan w:val="2"/>
            <w:tcMar>
              <w:top w:w="24" w:type="dxa"/>
              <w:left w:w="120" w:type="dxa"/>
              <w:bottom w:w="24" w:type="dxa"/>
              <w:right w:w="120" w:type="dxa"/>
            </w:tcMar>
            <w:hideMark/>
          </w:tcPr>
          <w:p w14:paraId="5252F155"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lastRenderedPageBreak/>
              <w:t>Impuestos por pagar</w:t>
            </w:r>
          </w:p>
        </w:tc>
        <w:tc>
          <w:tcPr>
            <w:tcW w:w="0" w:type="auto"/>
            <w:gridSpan w:val="2"/>
            <w:tcMar>
              <w:top w:w="24" w:type="dxa"/>
              <w:left w:w="120" w:type="dxa"/>
              <w:bottom w:w="24" w:type="dxa"/>
              <w:right w:w="120" w:type="dxa"/>
            </w:tcMar>
            <w:hideMark/>
          </w:tcPr>
          <w:p w14:paraId="530120F2"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Borders>
              <w:bottom w:val="single" w:sz="6" w:space="0" w:color="000000"/>
            </w:tcBorders>
            <w:tcMar>
              <w:top w:w="24" w:type="dxa"/>
              <w:left w:w="120" w:type="dxa"/>
              <w:bottom w:w="24" w:type="dxa"/>
              <w:right w:w="120" w:type="dxa"/>
            </w:tcMar>
            <w:hideMark/>
          </w:tcPr>
          <w:p w14:paraId="6D59C04C"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400</w:t>
            </w:r>
          </w:p>
        </w:tc>
        <w:tc>
          <w:tcPr>
            <w:tcW w:w="0" w:type="auto"/>
            <w:gridSpan w:val="2"/>
            <w:tcMar>
              <w:top w:w="24" w:type="dxa"/>
              <w:left w:w="120" w:type="dxa"/>
              <w:bottom w:w="24" w:type="dxa"/>
              <w:right w:w="120" w:type="dxa"/>
            </w:tcMar>
            <w:hideMark/>
          </w:tcPr>
          <w:p w14:paraId="27332264"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Borders>
              <w:bottom w:val="single" w:sz="6" w:space="0" w:color="000000"/>
            </w:tcBorders>
            <w:tcMar>
              <w:top w:w="24" w:type="dxa"/>
              <w:left w:w="120" w:type="dxa"/>
              <w:bottom w:w="24" w:type="dxa"/>
              <w:right w:w="120" w:type="dxa"/>
            </w:tcMar>
            <w:hideMark/>
          </w:tcPr>
          <w:p w14:paraId="6FBB16B0"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1,000</w:t>
            </w:r>
          </w:p>
        </w:tc>
      </w:tr>
      <w:tr w:rsidR="00AC2D21" w:rsidRPr="00AC2D21" w14:paraId="27441943" w14:textId="77777777" w:rsidTr="00AC2D21">
        <w:trPr>
          <w:trHeight w:val="336"/>
        </w:trPr>
        <w:tc>
          <w:tcPr>
            <w:tcW w:w="5812" w:type="dxa"/>
            <w:gridSpan w:val="2"/>
            <w:tcMar>
              <w:top w:w="24" w:type="dxa"/>
              <w:left w:w="120" w:type="dxa"/>
              <w:bottom w:w="24" w:type="dxa"/>
              <w:right w:w="120" w:type="dxa"/>
            </w:tcMar>
            <w:hideMark/>
          </w:tcPr>
          <w:p w14:paraId="13ED7AF7"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Pasivos a corto plazo</w:t>
            </w:r>
          </w:p>
        </w:tc>
        <w:tc>
          <w:tcPr>
            <w:tcW w:w="0" w:type="auto"/>
            <w:gridSpan w:val="2"/>
            <w:tcMar>
              <w:top w:w="24" w:type="dxa"/>
              <w:left w:w="120" w:type="dxa"/>
              <w:bottom w:w="24" w:type="dxa"/>
              <w:right w:w="120" w:type="dxa"/>
            </w:tcMar>
            <w:hideMark/>
          </w:tcPr>
          <w:p w14:paraId="1892FF52"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5A5998FF"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880</w:t>
            </w:r>
          </w:p>
        </w:tc>
        <w:tc>
          <w:tcPr>
            <w:tcW w:w="0" w:type="auto"/>
            <w:gridSpan w:val="2"/>
            <w:tcMar>
              <w:top w:w="24" w:type="dxa"/>
              <w:left w:w="120" w:type="dxa"/>
              <w:bottom w:w="24" w:type="dxa"/>
              <w:right w:w="120" w:type="dxa"/>
            </w:tcMar>
            <w:hideMark/>
          </w:tcPr>
          <w:p w14:paraId="3A4F4EEC"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0F9376E0"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2,990</w:t>
            </w:r>
          </w:p>
        </w:tc>
      </w:tr>
      <w:tr w:rsidR="00AC2D21" w:rsidRPr="00AC2D21" w14:paraId="177FEA09" w14:textId="77777777" w:rsidTr="00AC2D21">
        <w:trPr>
          <w:trHeight w:val="336"/>
        </w:trPr>
        <w:tc>
          <w:tcPr>
            <w:tcW w:w="9781" w:type="dxa"/>
            <w:gridSpan w:val="10"/>
            <w:tcMar>
              <w:top w:w="24" w:type="dxa"/>
              <w:left w:w="120" w:type="dxa"/>
              <w:bottom w:w="24" w:type="dxa"/>
              <w:right w:w="120" w:type="dxa"/>
            </w:tcMar>
            <w:hideMark/>
          </w:tcPr>
          <w:p w14:paraId="7A89E76B"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r>
      <w:tr w:rsidR="00AC2D21" w:rsidRPr="00AC2D21" w14:paraId="3CC30A74" w14:textId="77777777" w:rsidTr="00AC2D21">
        <w:trPr>
          <w:trHeight w:val="336"/>
        </w:trPr>
        <w:tc>
          <w:tcPr>
            <w:tcW w:w="5812" w:type="dxa"/>
            <w:gridSpan w:val="2"/>
            <w:tcMar>
              <w:top w:w="24" w:type="dxa"/>
              <w:left w:w="120" w:type="dxa"/>
              <w:bottom w:w="24" w:type="dxa"/>
              <w:right w:w="120" w:type="dxa"/>
            </w:tcMar>
            <w:hideMark/>
          </w:tcPr>
          <w:p w14:paraId="21421FFB"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Acreedores a largo plazo</w:t>
            </w:r>
          </w:p>
        </w:tc>
        <w:tc>
          <w:tcPr>
            <w:tcW w:w="0" w:type="auto"/>
            <w:gridSpan w:val="2"/>
            <w:tcMar>
              <w:top w:w="24" w:type="dxa"/>
              <w:left w:w="120" w:type="dxa"/>
              <w:bottom w:w="24" w:type="dxa"/>
              <w:right w:w="120" w:type="dxa"/>
            </w:tcMar>
            <w:hideMark/>
          </w:tcPr>
          <w:p w14:paraId="00D1A951"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065946B2"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1,490</w:t>
            </w:r>
          </w:p>
        </w:tc>
        <w:tc>
          <w:tcPr>
            <w:tcW w:w="0" w:type="auto"/>
            <w:gridSpan w:val="2"/>
            <w:tcMar>
              <w:top w:w="24" w:type="dxa"/>
              <w:left w:w="120" w:type="dxa"/>
              <w:bottom w:w="24" w:type="dxa"/>
              <w:right w:w="120" w:type="dxa"/>
            </w:tcMar>
            <w:hideMark/>
          </w:tcPr>
          <w:p w14:paraId="29F9CBF8"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6F12BBFF"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1,040</w:t>
            </w:r>
          </w:p>
        </w:tc>
      </w:tr>
      <w:tr w:rsidR="00AC2D21" w:rsidRPr="00AC2D21" w14:paraId="10663EB5" w14:textId="77777777" w:rsidTr="00AC2D21">
        <w:trPr>
          <w:trHeight w:val="336"/>
        </w:trPr>
        <w:tc>
          <w:tcPr>
            <w:tcW w:w="5812" w:type="dxa"/>
            <w:gridSpan w:val="2"/>
            <w:tcMar>
              <w:top w:w="24" w:type="dxa"/>
              <w:left w:w="120" w:type="dxa"/>
              <w:bottom w:w="24" w:type="dxa"/>
              <w:right w:w="120" w:type="dxa"/>
            </w:tcMar>
            <w:hideMark/>
          </w:tcPr>
          <w:p w14:paraId="2174DA16"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Arrendamiento financiero</w:t>
            </w:r>
          </w:p>
        </w:tc>
        <w:tc>
          <w:tcPr>
            <w:tcW w:w="0" w:type="auto"/>
            <w:gridSpan w:val="2"/>
            <w:tcMar>
              <w:top w:w="24" w:type="dxa"/>
              <w:left w:w="120" w:type="dxa"/>
              <w:bottom w:w="24" w:type="dxa"/>
              <w:right w:w="120" w:type="dxa"/>
            </w:tcMar>
            <w:hideMark/>
          </w:tcPr>
          <w:p w14:paraId="1ADF3E95"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Borders>
              <w:bottom w:val="single" w:sz="6" w:space="0" w:color="000000"/>
            </w:tcBorders>
            <w:tcMar>
              <w:top w:w="24" w:type="dxa"/>
              <w:left w:w="120" w:type="dxa"/>
              <w:bottom w:w="24" w:type="dxa"/>
              <w:right w:w="120" w:type="dxa"/>
            </w:tcMar>
            <w:hideMark/>
          </w:tcPr>
          <w:p w14:paraId="0170A3A3"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810</w:t>
            </w:r>
          </w:p>
        </w:tc>
        <w:tc>
          <w:tcPr>
            <w:tcW w:w="0" w:type="auto"/>
            <w:gridSpan w:val="2"/>
            <w:tcMar>
              <w:top w:w="24" w:type="dxa"/>
              <w:left w:w="120" w:type="dxa"/>
              <w:bottom w:w="24" w:type="dxa"/>
              <w:right w:w="120" w:type="dxa"/>
            </w:tcMar>
            <w:hideMark/>
          </w:tcPr>
          <w:p w14:paraId="59425EF5"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Borders>
              <w:bottom w:val="single" w:sz="6" w:space="0" w:color="000000"/>
            </w:tcBorders>
            <w:tcMar>
              <w:top w:w="24" w:type="dxa"/>
              <w:left w:w="120" w:type="dxa"/>
              <w:bottom w:w="24" w:type="dxa"/>
              <w:right w:w="120" w:type="dxa"/>
            </w:tcMar>
            <w:hideMark/>
          </w:tcPr>
          <w:p w14:paraId="6241C66D" w14:textId="77777777" w:rsidR="00AC2D21" w:rsidRPr="00AC2D21" w:rsidRDefault="00AC2D21" w:rsidP="00AC2D21">
            <w:pPr>
              <w:spacing w:line="480" w:lineRule="auto"/>
              <w:rPr>
                <w:rFonts w:ascii="Helvetica" w:eastAsia="Times New Roman" w:hAnsi="Helvetica" w:cs="Times New Roman"/>
                <w:sz w:val="22"/>
                <w:szCs w:val="22"/>
                <w:lang w:eastAsia="es-MX"/>
              </w:rPr>
            </w:pPr>
          </w:p>
        </w:tc>
      </w:tr>
      <w:tr w:rsidR="00AC2D21" w:rsidRPr="00AC2D21" w14:paraId="4456A522" w14:textId="77777777" w:rsidTr="00AC2D21">
        <w:trPr>
          <w:trHeight w:val="336"/>
        </w:trPr>
        <w:tc>
          <w:tcPr>
            <w:tcW w:w="5812" w:type="dxa"/>
            <w:gridSpan w:val="2"/>
            <w:tcMar>
              <w:top w:w="24" w:type="dxa"/>
              <w:left w:w="120" w:type="dxa"/>
              <w:bottom w:w="24" w:type="dxa"/>
              <w:right w:w="120" w:type="dxa"/>
            </w:tcMar>
            <w:hideMark/>
          </w:tcPr>
          <w:p w14:paraId="3D8069F0"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Pasivos a corto plazo</w:t>
            </w:r>
          </w:p>
        </w:tc>
        <w:tc>
          <w:tcPr>
            <w:tcW w:w="0" w:type="auto"/>
            <w:gridSpan w:val="2"/>
            <w:tcMar>
              <w:top w:w="24" w:type="dxa"/>
              <w:left w:w="120" w:type="dxa"/>
              <w:bottom w:w="24" w:type="dxa"/>
              <w:right w:w="120" w:type="dxa"/>
            </w:tcMar>
            <w:hideMark/>
          </w:tcPr>
          <w:p w14:paraId="026D0145"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2AD668D1"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2,300</w:t>
            </w:r>
          </w:p>
        </w:tc>
        <w:tc>
          <w:tcPr>
            <w:tcW w:w="0" w:type="auto"/>
            <w:gridSpan w:val="2"/>
            <w:tcMar>
              <w:top w:w="24" w:type="dxa"/>
              <w:left w:w="120" w:type="dxa"/>
              <w:bottom w:w="24" w:type="dxa"/>
              <w:right w:w="120" w:type="dxa"/>
            </w:tcMar>
            <w:hideMark/>
          </w:tcPr>
          <w:p w14:paraId="7E7FEEF8"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0CFF9729"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1,040</w:t>
            </w:r>
          </w:p>
        </w:tc>
      </w:tr>
      <w:tr w:rsidR="00AC2D21" w:rsidRPr="00AC2D21" w14:paraId="56F2EE3D" w14:textId="77777777" w:rsidTr="00AC2D21">
        <w:trPr>
          <w:trHeight w:val="336"/>
        </w:trPr>
        <w:tc>
          <w:tcPr>
            <w:tcW w:w="9781" w:type="dxa"/>
            <w:gridSpan w:val="10"/>
            <w:tcMar>
              <w:top w:w="24" w:type="dxa"/>
              <w:left w:w="120" w:type="dxa"/>
              <w:bottom w:w="24" w:type="dxa"/>
              <w:right w:w="120" w:type="dxa"/>
            </w:tcMar>
            <w:hideMark/>
          </w:tcPr>
          <w:p w14:paraId="4B09EDC1"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r>
      <w:tr w:rsidR="00AC2D21" w:rsidRPr="00AC2D21" w14:paraId="57FE2D95" w14:textId="77777777" w:rsidTr="00AC2D21">
        <w:trPr>
          <w:trHeight w:val="336"/>
        </w:trPr>
        <w:tc>
          <w:tcPr>
            <w:tcW w:w="5812" w:type="dxa"/>
            <w:gridSpan w:val="2"/>
            <w:tcMar>
              <w:top w:w="24" w:type="dxa"/>
              <w:left w:w="120" w:type="dxa"/>
              <w:bottom w:w="24" w:type="dxa"/>
              <w:right w:w="120" w:type="dxa"/>
            </w:tcMar>
            <w:hideMark/>
          </w:tcPr>
          <w:p w14:paraId="40AA6DEE" w14:textId="77777777" w:rsidR="00AC2D21" w:rsidRPr="00AC2D21" w:rsidRDefault="00AC2D21" w:rsidP="00AC2D21">
            <w:pPr>
              <w:spacing w:line="480" w:lineRule="auto"/>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Total de pasivos</w:t>
            </w:r>
          </w:p>
        </w:tc>
        <w:tc>
          <w:tcPr>
            <w:tcW w:w="0" w:type="auto"/>
            <w:gridSpan w:val="2"/>
            <w:tcMar>
              <w:top w:w="24" w:type="dxa"/>
              <w:left w:w="120" w:type="dxa"/>
              <w:bottom w:w="24" w:type="dxa"/>
              <w:right w:w="120" w:type="dxa"/>
            </w:tcMar>
            <w:hideMark/>
          </w:tcPr>
          <w:p w14:paraId="65482025" w14:textId="77777777" w:rsidR="00AC2D21" w:rsidRPr="00AC2D21" w:rsidRDefault="00AC2D21" w:rsidP="00AC2D21">
            <w:pPr>
              <w:spacing w:line="480" w:lineRule="auto"/>
              <w:rPr>
                <w:rFonts w:ascii="Helvetica" w:eastAsia="Times New Roman" w:hAnsi="Helvetica" w:cs="Arial"/>
                <w:b/>
                <w:bCs/>
                <w:color w:val="000000"/>
                <w:sz w:val="22"/>
                <w:szCs w:val="22"/>
                <w:lang w:eastAsia="es-MX"/>
              </w:rPr>
            </w:pPr>
          </w:p>
        </w:tc>
        <w:tc>
          <w:tcPr>
            <w:tcW w:w="0" w:type="auto"/>
            <w:gridSpan w:val="2"/>
            <w:tcBorders>
              <w:top w:val="single" w:sz="6" w:space="0" w:color="000000"/>
              <w:bottom w:val="single" w:sz="6" w:space="0" w:color="000000"/>
            </w:tcBorders>
            <w:tcMar>
              <w:top w:w="24" w:type="dxa"/>
              <w:left w:w="120" w:type="dxa"/>
              <w:bottom w:w="24" w:type="dxa"/>
              <w:right w:w="120" w:type="dxa"/>
            </w:tcMar>
            <w:hideMark/>
          </w:tcPr>
          <w:p w14:paraId="1B061FBC"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3,180</w:t>
            </w:r>
          </w:p>
        </w:tc>
        <w:tc>
          <w:tcPr>
            <w:tcW w:w="0" w:type="auto"/>
            <w:gridSpan w:val="2"/>
            <w:tcMar>
              <w:top w:w="24" w:type="dxa"/>
              <w:left w:w="120" w:type="dxa"/>
              <w:bottom w:w="24" w:type="dxa"/>
              <w:right w:w="120" w:type="dxa"/>
            </w:tcMar>
            <w:hideMark/>
          </w:tcPr>
          <w:p w14:paraId="54FC1F2D"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p>
        </w:tc>
        <w:tc>
          <w:tcPr>
            <w:tcW w:w="0" w:type="auto"/>
            <w:gridSpan w:val="2"/>
            <w:tcBorders>
              <w:top w:val="single" w:sz="6" w:space="0" w:color="000000"/>
              <w:bottom w:val="single" w:sz="6" w:space="0" w:color="000000"/>
            </w:tcBorders>
            <w:tcMar>
              <w:top w:w="24" w:type="dxa"/>
              <w:left w:w="120" w:type="dxa"/>
              <w:bottom w:w="24" w:type="dxa"/>
              <w:right w:w="120" w:type="dxa"/>
            </w:tcMar>
            <w:hideMark/>
          </w:tcPr>
          <w:p w14:paraId="6744DDCF"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4,030</w:t>
            </w:r>
          </w:p>
        </w:tc>
      </w:tr>
      <w:tr w:rsidR="00AC2D21" w:rsidRPr="00AC2D21" w14:paraId="01C1FAA3" w14:textId="77777777" w:rsidTr="00AC2D21">
        <w:trPr>
          <w:trHeight w:val="336"/>
        </w:trPr>
        <w:tc>
          <w:tcPr>
            <w:tcW w:w="9781" w:type="dxa"/>
            <w:gridSpan w:val="10"/>
            <w:tcMar>
              <w:top w:w="24" w:type="dxa"/>
              <w:left w:w="120" w:type="dxa"/>
              <w:bottom w:w="24" w:type="dxa"/>
              <w:right w:w="120" w:type="dxa"/>
            </w:tcMar>
            <w:hideMark/>
          </w:tcPr>
          <w:p w14:paraId="4D278FBC"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p>
        </w:tc>
      </w:tr>
      <w:tr w:rsidR="00AC2D21" w:rsidRPr="00AC2D21" w14:paraId="14E24137" w14:textId="77777777" w:rsidTr="00AC2D21">
        <w:trPr>
          <w:trHeight w:val="336"/>
        </w:trPr>
        <w:tc>
          <w:tcPr>
            <w:tcW w:w="5812" w:type="dxa"/>
            <w:gridSpan w:val="2"/>
            <w:tcMar>
              <w:top w:w="24" w:type="dxa"/>
              <w:left w:w="120" w:type="dxa"/>
              <w:bottom w:w="24" w:type="dxa"/>
              <w:right w:w="120" w:type="dxa"/>
            </w:tcMar>
            <w:hideMark/>
          </w:tcPr>
          <w:p w14:paraId="09B902CE" w14:textId="77777777" w:rsidR="00AC2D21" w:rsidRPr="00AC2D21" w:rsidRDefault="00AC2D21" w:rsidP="00AC2D21">
            <w:pPr>
              <w:spacing w:line="480" w:lineRule="auto"/>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Capital contable</w:t>
            </w:r>
          </w:p>
        </w:tc>
        <w:tc>
          <w:tcPr>
            <w:tcW w:w="0" w:type="auto"/>
            <w:gridSpan w:val="2"/>
            <w:tcMar>
              <w:top w:w="24" w:type="dxa"/>
              <w:left w:w="120" w:type="dxa"/>
              <w:bottom w:w="24" w:type="dxa"/>
              <w:right w:w="120" w:type="dxa"/>
            </w:tcMar>
            <w:hideMark/>
          </w:tcPr>
          <w:p w14:paraId="19AD462C" w14:textId="77777777" w:rsidR="00AC2D21" w:rsidRPr="00AC2D21" w:rsidRDefault="00AC2D21" w:rsidP="00AC2D21">
            <w:pPr>
              <w:spacing w:line="480" w:lineRule="auto"/>
              <w:rPr>
                <w:rFonts w:ascii="Helvetica" w:eastAsia="Times New Roman" w:hAnsi="Helvetica" w:cs="Arial"/>
                <w:b/>
                <w:bCs/>
                <w:color w:val="000000"/>
                <w:sz w:val="22"/>
                <w:szCs w:val="22"/>
                <w:lang w:eastAsia="es-MX"/>
              </w:rPr>
            </w:pPr>
          </w:p>
        </w:tc>
        <w:tc>
          <w:tcPr>
            <w:tcW w:w="0" w:type="auto"/>
            <w:gridSpan w:val="2"/>
            <w:tcMar>
              <w:top w:w="24" w:type="dxa"/>
              <w:left w:w="120" w:type="dxa"/>
              <w:bottom w:w="24" w:type="dxa"/>
              <w:right w:w="120" w:type="dxa"/>
            </w:tcMar>
            <w:hideMark/>
          </w:tcPr>
          <w:p w14:paraId="2769CC56" w14:textId="77777777" w:rsidR="00AC2D21" w:rsidRPr="00AC2D21" w:rsidRDefault="00AC2D21" w:rsidP="00AC2D21">
            <w:pPr>
              <w:spacing w:line="480" w:lineRule="auto"/>
              <w:rPr>
                <w:rFonts w:ascii="Helvetica" w:eastAsia="Times New Roman" w:hAnsi="Helvetica" w:cs="Times New Roman"/>
                <w:sz w:val="22"/>
                <w:szCs w:val="22"/>
                <w:lang w:eastAsia="es-MX"/>
              </w:rPr>
            </w:pPr>
          </w:p>
        </w:tc>
        <w:tc>
          <w:tcPr>
            <w:tcW w:w="0" w:type="auto"/>
            <w:gridSpan w:val="2"/>
            <w:tcMar>
              <w:top w:w="24" w:type="dxa"/>
              <w:left w:w="120" w:type="dxa"/>
              <w:bottom w:w="24" w:type="dxa"/>
              <w:right w:w="120" w:type="dxa"/>
            </w:tcMar>
            <w:hideMark/>
          </w:tcPr>
          <w:p w14:paraId="20D0B8FA" w14:textId="77777777" w:rsidR="00AC2D21" w:rsidRPr="00AC2D21" w:rsidRDefault="00AC2D21" w:rsidP="00AC2D21">
            <w:pPr>
              <w:spacing w:line="480" w:lineRule="auto"/>
              <w:jc w:val="right"/>
              <w:rPr>
                <w:rFonts w:ascii="Helvetica" w:eastAsia="Times New Roman" w:hAnsi="Helvetica" w:cs="Times New Roman"/>
                <w:sz w:val="22"/>
                <w:szCs w:val="22"/>
                <w:lang w:eastAsia="es-MX"/>
              </w:rPr>
            </w:pPr>
          </w:p>
        </w:tc>
        <w:tc>
          <w:tcPr>
            <w:tcW w:w="0" w:type="auto"/>
            <w:gridSpan w:val="2"/>
            <w:tcMar>
              <w:top w:w="24" w:type="dxa"/>
              <w:left w:w="120" w:type="dxa"/>
              <w:bottom w:w="24" w:type="dxa"/>
              <w:right w:w="120" w:type="dxa"/>
            </w:tcMar>
            <w:hideMark/>
          </w:tcPr>
          <w:p w14:paraId="025513B9" w14:textId="77777777" w:rsidR="00AC2D21" w:rsidRPr="00AC2D21" w:rsidRDefault="00AC2D21" w:rsidP="00AC2D21">
            <w:pPr>
              <w:spacing w:line="480" w:lineRule="auto"/>
              <w:rPr>
                <w:rFonts w:ascii="Helvetica" w:eastAsia="Times New Roman" w:hAnsi="Helvetica" w:cs="Times New Roman"/>
                <w:sz w:val="22"/>
                <w:szCs w:val="22"/>
                <w:lang w:eastAsia="es-MX"/>
              </w:rPr>
            </w:pPr>
          </w:p>
        </w:tc>
      </w:tr>
      <w:tr w:rsidR="00AC2D21" w:rsidRPr="00AC2D21" w14:paraId="1224503A" w14:textId="77777777" w:rsidTr="00AC2D21">
        <w:trPr>
          <w:trHeight w:val="336"/>
        </w:trPr>
        <w:tc>
          <w:tcPr>
            <w:tcW w:w="5812" w:type="dxa"/>
            <w:gridSpan w:val="2"/>
            <w:tcMar>
              <w:top w:w="24" w:type="dxa"/>
              <w:left w:w="120" w:type="dxa"/>
              <w:bottom w:w="24" w:type="dxa"/>
              <w:right w:w="120" w:type="dxa"/>
            </w:tcMar>
            <w:hideMark/>
          </w:tcPr>
          <w:p w14:paraId="46ECA221"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Capital social</w:t>
            </w:r>
          </w:p>
        </w:tc>
        <w:tc>
          <w:tcPr>
            <w:tcW w:w="0" w:type="auto"/>
            <w:gridSpan w:val="2"/>
            <w:tcMar>
              <w:top w:w="24" w:type="dxa"/>
              <w:left w:w="120" w:type="dxa"/>
              <w:bottom w:w="24" w:type="dxa"/>
              <w:right w:w="120" w:type="dxa"/>
            </w:tcMar>
            <w:hideMark/>
          </w:tcPr>
          <w:p w14:paraId="7F14953A"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53ADD44B"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1,500</w:t>
            </w:r>
          </w:p>
        </w:tc>
        <w:tc>
          <w:tcPr>
            <w:tcW w:w="0" w:type="auto"/>
            <w:gridSpan w:val="2"/>
            <w:tcMar>
              <w:top w:w="24" w:type="dxa"/>
              <w:left w:w="120" w:type="dxa"/>
              <w:bottom w:w="24" w:type="dxa"/>
              <w:right w:w="120" w:type="dxa"/>
            </w:tcMar>
            <w:hideMark/>
          </w:tcPr>
          <w:p w14:paraId="4EB635C2"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3F393EA0"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1,250</w:t>
            </w:r>
          </w:p>
        </w:tc>
      </w:tr>
      <w:tr w:rsidR="00AC2D21" w:rsidRPr="00AC2D21" w14:paraId="0B41ED4A" w14:textId="77777777" w:rsidTr="00AC2D21">
        <w:trPr>
          <w:trHeight w:val="336"/>
        </w:trPr>
        <w:tc>
          <w:tcPr>
            <w:tcW w:w="5812" w:type="dxa"/>
            <w:gridSpan w:val="2"/>
            <w:tcMar>
              <w:top w:w="24" w:type="dxa"/>
              <w:left w:w="120" w:type="dxa"/>
              <w:bottom w:w="24" w:type="dxa"/>
              <w:right w:w="120" w:type="dxa"/>
            </w:tcMar>
            <w:hideMark/>
          </w:tcPr>
          <w:p w14:paraId="16267B38"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Utilidades acumuladas</w:t>
            </w:r>
          </w:p>
        </w:tc>
        <w:tc>
          <w:tcPr>
            <w:tcW w:w="0" w:type="auto"/>
            <w:gridSpan w:val="2"/>
            <w:tcMar>
              <w:top w:w="24" w:type="dxa"/>
              <w:left w:w="120" w:type="dxa"/>
              <w:bottom w:w="24" w:type="dxa"/>
              <w:right w:w="120" w:type="dxa"/>
            </w:tcMar>
            <w:hideMark/>
          </w:tcPr>
          <w:p w14:paraId="5D51C505"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25003B11"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180</w:t>
            </w:r>
          </w:p>
        </w:tc>
        <w:tc>
          <w:tcPr>
            <w:tcW w:w="0" w:type="auto"/>
            <w:gridSpan w:val="2"/>
            <w:tcMar>
              <w:top w:w="24" w:type="dxa"/>
              <w:left w:w="120" w:type="dxa"/>
              <w:bottom w:w="24" w:type="dxa"/>
              <w:right w:w="120" w:type="dxa"/>
            </w:tcMar>
            <w:hideMark/>
          </w:tcPr>
          <w:p w14:paraId="14E6C462"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Mar>
              <w:top w:w="24" w:type="dxa"/>
              <w:left w:w="120" w:type="dxa"/>
              <w:bottom w:w="24" w:type="dxa"/>
              <w:right w:w="120" w:type="dxa"/>
            </w:tcMar>
            <w:hideMark/>
          </w:tcPr>
          <w:p w14:paraId="7408A8D5"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1,380</w:t>
            </w:r>
          </w:p>
        </w:tc>
      </w:tr>
      <w:tr w:rsidR="00AC2D21" w:rsidRPr="00AC2D21" w14:paraId="0FC5B823" w14:textId="77777777" w:rsidTr="00AC2D21">
        <w:trPr>
          <w:trHeight w:val="336"/>
        </w:trPr>
        <w:tc>
          <w:tcPr>
            <w:tcW w:w="5812" w:type="dxa"/>
            <w:gridSpan w:val="2"/>
            <w:tcMar>
              <w:top w:w="24" w:type="dxa"/>
              <w:left w:w="120" w:type="dxa"/>
              <w:bottom w:w="24" w:type="dxa"/>
              <w:right w:w="120" w:type="dxa"/>
            </w:tcMar>
            <w:hideMark/>
          </w:tcPr>
          <w:p w14:paraId="7B38F7BC" w14:textId="77777777" w:rsidR="00AC2D21" w:rsidRPr="00AC2D21" w:rsidRDefault="00AC2D21" w:rsidP="00AC2D21">
            <w:pPr>
              <w:spacing w:line="480" w:lineRule="auto"/>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Utilidad neta</w:t>
            </w:r>
          </w:p>
        </w:tc>
        <w:tc>
          <w:tcPr>
            <w:tcW w:w="0" w:type="auto"/>
            <w:gridSpan w:val="2"/>
            <w:tcMar>
              <w:top w:w="24" w:type="dxa"/>
              <w:left w:w="120" w:type="dxa"/>
              <w:bottom w:w="24" w:type="dxa"/>
              <w:right w:w="120" w:type="dxa"/>
            </w:tcMar>
            <w:hideMark/>
          </w:tcPr>
          <w:p w14:paraId="5384EEEB" w14:textId="77777777" w:rsidR="00AC2D21" w:rsidRPr="00AC2D21" w:rsidRDefault="00AC2D21" w:rsidP="00AC2D21">
            <w:pPr>
              <w:spacing w:line="480" w:lineRule="auto"/>
              <w:rPr>
                <w:rFonts w:ascii="Helvetica" w:eastAsia="Times New Roman" w:hAnsi="Helvetica" w:cs="Arial"/>
                <w:color w:val="000000"/>
                <w:sz w:val="22"/>
                <w:szCs w:val="22"/>
                <w:lang w:eastAsia="es-MX"/>
              </w:rPr>
            </w:pPr>
          </w:p>
        </w:tc>
        <w:tc>
          <w:tcPr>
            <w:tcW w:w="0" w:type="auto"/>
            <w:gridSpan w:val="2"/>
            <w:tcBorders>
              <w:bottom w:val="double" w:sz="6" w:space="0" w:color="auto"/>
            </w:tcBorders>
            <w:tcMar>
              <w:top w:w="24" w:type="dxa"/>
              <w:left w:w="120" w:type="dxa"/>
              <w:bottom w:w="24" w:type="dxa"/>
              <w:right w:w="120" w:type="dxa"/>
            </w:tcMar>
            <w:hideMark/>
          </w:tcPr>
          <w:p w14:paraId="2DCE7E85"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3,050</w:t>
            </w:r>
          </w:p>
        </w:tc>
        <w:tc>
          <w:tcPr>
            <w:tcW w:w="0" w:type="auto"/>
            <w:gridSpan w:val="2"/>
            <w:tcMar>
              <w:top w:w="24" w:type="dxa"/>
              <w:left w:w="120" w:type="dxa"/>
              <w:bottom w:w="24" w:type="dxa"/>
              <w:right w:w="120" w:type="dxa"/>
            </w:tcMar>
            <w:hideMark/>
          </w:tcPr>
          <w:p w14:paraId="65D8834A"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p>
        </w:tc>
        <w:tc>
          <w:tcPr>
            <w:tcW w:w="0" w:type="auto"/>
            <w:gridSpan w:val="2"/>
            <w:tcBorders>
              <w:bottom w:val="single" w:sz="6" w:space="0" w:color="000000"/>
            </w:tcBorders>
            <w:tcMar>
              <w:top w:w="24" w:type="dxa"/>
              <w:left w:w="120" w:type="dxa"/>
              <w:bottom w:w="24" w:type="dxa"/>
              <w:right w:w="120" w:type="dxa"/>
            </w:tcMar>
            <w:hideMark/>
          </w:tcPr>
          <w:p w14:paraId="3E3198F5" w14:textId="77777777" w:rsidR="00AC2D21" w:rsidRPr="00AC2D21" w:rsidRDefault="00AC2D21" w:rsidP="00AC2D21">
            <w:pPr>
              <w:spacing w:line="480" w:lineRule="auto"/>
              <w:rPr>
                <w:rFonts w:ascii="Helvetica" w:eastAsia="Times New Roman" w:hAnsi="Helvetica" w:cs="Times New Roman"/>
                <w:sz w:val="22"/>
                <w:szCs w:val="22"/>
                <w:lang w:eastAsia="es-MX"/>
              </w:rPr>
            </w:pPr>
          </w:p>
        </w:tc>
      </w:tr>
      <w:tr w:rsidR="00AC2D21" w:rsidRPr="00AC2D21" w14:paraId="2A77C2E6" w14:textId="77777777" w:rsidTr="00AC2D21">
        <w:trPr>
          <w:trHeight w:val="336"/>
        </w:trPr>
        <w:tc>
          <w:tcPr>
            <w:tcW w:w="5812" w:type="dxa"/>
            <w:gridSpan w:val="2"/>
            <w:tcMar>
              <w:top w:w="24" w:type="dxa"/>
              <w:left w:w="120" w:type="dxa"/>
              <w:bottom w:w="24" w:type="dxa"/>
              <w:right w:w="120" w:type="dxa"/>
            </w:tcMar>
            <w:hideMark/>
          </w:tcPr>
          <w:p w14:paraId="2F35D4FB" w14:textId="77777777" w:rsidR="00AC2D21" w:rsidRPr="00AC2D21" w:rsidRDefault="00AC2D21" w:rsidP="00AC2D21">
            <w:pPr>
              <w:spacing w:line="480" w:lineRule="auto"/>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Total de capital contable</w:t>
            </w:r>
          </w:p>
        </w:tc>
        <w:tc>
          <w:tcPr>
            <w:tcW w:w="0" w:type="auto"/>
            <w:gridSpan w:val="2"/>
            <w:tcMar>
              <w:top w:w="24" w:type="dxa"/>
              <w:left w:w="120" w:type="dxa"/>
              <w:bottom w:w="24" w:type="dxa"/>
              <w:right w:w="120" w:type="dxa"/>
            </w:tcMar>
            <w:hideMark/>
          </w:tcPr>
          <w:p w14:paraId="3F3878DA" w14:textId="77777777" w:rsidR="00AC2D21" w:rsidRPr="00AC2D21" w:rsidRDefault="00AC2D21" w:rsidP="00AC2D21">
            <w:pPr>
              <w:spacing w:line="480" w:lineRule="auto"/>
              <w:rPr>
                <w:rFonts w:ascii="Helvetica" w:eastAsia="Times New Roman" w:hAnsi="Helvetica" w:cs="Arial"/>
                <w:b/>
                <w:bCs/>
                <w:color w:val="000000"/>
                <w:sz w:val="22"/>
                <w:szCs w:val="22"/>
                <w:lang w:eastAsia="es-MX"/>
              </w:rPr>
            </w:pPr>
          </w:p>
        </w:tc>
        <w:tc>
          <w:tcPr>
            <w:tcW w:w="0" w:type="auto"/>
            <w:gridSpan w:val="2"/>
            <w:tcBorders>
              <w:bottom w:val="single" w:sz="6" w:space="0" w:color="000000"/>
            </w:tcBorders>
            <w:tcMar>
              <w:top w:w="24" w:type="dxa"/>
              <w:left w:w="120" w:type="dxa"/>
              <w:bottom w:w="24" w:type="dxa"/>
              <w:right w:w="120" w:type="dxa"/>
            </w:tcMar>
            <w:hideMark/>
          </w:tcPr>
          <w:p w14:paraId="74810A99"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4,730</w:t>
            </w:r>
          </w:p>
        </w:tc>
        <w:tc>
          <w:tcPr>
            <w:tcW w:w="0" w:type="auto"/>
            <w:gridSpan w:val="2"/>
            <w:tcMar>
              <w:top w:w="24" w:type="dxa"/>
              <w:left w:w="120" w:type="dxa"/>
              <w:bottom w:w="24" w:type="dxa"/>
              <w:right w:w="120" w:type="dxa"/>
            </w:tcMar>
            <w:hideMark/>
          </w:tcPr>
          <w:p w14:paraId="158093C2"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p>
        </w:tc>
        <w:tc>
          <w:tcPr>
            <w:tcW w:w="0" w:type="auto"/>
            <w:gridSpan w:val="2"/>
            <w:tcBorders>
              <w:bottom w:val="single" w:sz="6" w:space="0" w:color="000000"/>
            </w:tcBorders>
            <w:tcMar>
              <w:top w:w="24" w:type="dxa"/>
              <w:left w:w="120" w:type="dxa"/>
              <w:bottom w:w="24" w:type="dxa"/>
              <w:right w:w="120" w:type="dxa"/>
            </w:tcMar>
            <w:hideMark/>
          </w:tcPr>
          <w:p w14:paraId="00B13CD7"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2,630</w:t>
            </w:r>
          </w:p>
        </w:tc>
      </w:tr>
      <w:tr w:rsidR="00AC2D21" w:rsidRPr="00AC2D21" w14:paraId="60AE0BCF" w14:textId="77777777" w:rsidTr="00AC2D21">
        <w:trPr>
          <w:trHeight w:val="336"/>
        </w:trPr>
        <w:tc>
          <w:tcPr>
            <w:tcW w:w="5812" w:type="dxa"/>
            <w:gridSpan w:val="2"/>
            <w:tcMar>
              <w:top w:w="24" w:type="dxa"/>
              <w:left w:w="120" w:type="dxa"/>
              <w:bottom w:w="24" w:type="dxa"/>
              <w:right w:w="120" w:type="dxa"/>
            </w:tcMar>
            <w:hideMark/>
          </w:tcPr>
          <w:p w14:paraId="4F7CAD46"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p>
        </w:tc>
        <w:tc>
          <w:tcPr>
            <w:tcW w:w="0" w:type="auto"/>
            <w:gridSpan w:val="2"/>
            <w:tcMar>
              <w:top w:w="24" w:type="dxa"/>
              <w:left w:w="120" w:type="dxa"/>
              <w:bottom w:w="24" w:type="dxa"/>
              <w:right w:w="120" w:type="dxa"/>
            </w:tcMar>
            <w:hideMark/>
          </w:tcPr>
          <w:p w14:paraId="7D1032DA" w14:textId="77777777" w:rsidR="00AC2D21" w:rsidRPr="00AC2D21" w:rsidRDefault="00AC2D21" w:rsidP="00AC2D21">
            <w:pPr>
              <w:spacing w:line="480" w:lineRule="auto"/>
              <w:rPr>
                <w:rFonts w:ascii="Helvetica" w:eastAsia="Times New Roman" w:hAnsi="Helvetica" w:cs="Times New Roman"/>
                <w:sz w:val="22"/>
                <w:szCs w:val="22"/>
                <w:lang w:eastAsia="es-MX"/>
              </w:rPr>
            </w:pPr>
          </w:p>
        </w:tc>
        <w:tc>
          <w:tcPr>
            <w:tcW w:w="0" w:type="auto"/>
            <w:gridSpan w:val="2"/>
            <w:tcMar>
              <w:top w:w="24" w:type="dxa"/>
              <w:left w:w="120" w:type="dxa"/>
              <w:bottom w:w="24" w:type="dxa"/>
              <w:right w:w="120" w:type="dxa"/>
            </w:tcMar>
            <w:hideMark/>
          </w:tcPr>
          <w:p w14:paraId="717BC43D" w14:textId="77777777" w:rsidR="00AC2D21" w:rsidRPr="00AC2D21" w:rsidRDefault="00AC2D21" w:rsidP="00AC2D21">
            <w:pPr>
              <w:spacing w:line="480" w:lineRule="auto"/>
              <w:rPr>
                <w:rFonts w:ascii="Helvetica" w:eastAsia="Times New Roman" w:hAnsi="Helvetica" w:cs="Times New Roman"/>
                <w:sz w:val="22"/>
                <w:szCs w:val="22"/>
                <w:lang w:eastAsia="es-MX"/>
              </w:rPr>
            </w:pPr>
          </w:p>
        </w:tc>
        <w:tc>
          <w:tcPr>
            <w:tcW w:w="0" w:type="auto"/>
            <w:gridSpan w:val="2"/>
            <w:tcMar>
              <w:top w:w="24" w:type="dxa"/>
              <w:left w:w="120" w:type="dxa"/>
              <w:bottom w:w="24" w:type="dxa"/>
              <w:right w:w="120" w:type="dxa"/>
            </w:tcMar>
            <w:hideMark/>
          </w:tcPr>
          <w:p w14:paraId="3424397E" w14:textId="77777777" w:rsidR="00AC2D21" w:rsidRPr="00AC2D21" w:rsidRDefault="00AC2D21" w:rsidP="00AC2D21">
            <w:pPr>
              <w:spacing w:line="480" w:lineRule="auto"/>
              <w:jc w:val="right"/>
              <w:rPr>
                <w:rFonts w:ascii="Helvetica" w:eastAsia="Times New Roman" w:hAnsi="Helvetica" w:cs="Times New Roman"/>
                <w:sz w:val="22"/>
                <w:szCs w:val="22"/>
                <w:lang w:eastAsia="es-MX"/>
              </w:rPr>
            </w:pPr>
          </w:p>
        </w:tc>
        <w:tc>
          <w:tcPr>
            <w:tcW w:w="0" w:type="auto"/>
            <w:gridSpan w:val="2"/>
            <w:tcMar>
              <w:top w:w="24" w:type="dxa"/>
              <w:left w:w="120" w:type="dxa"/>
              <w:bottom w:w="24" w:type="dxa"/>
              <w:right w:w="120" w:type="dxa"/>
            </w:tcMar>
            <w:hideMark/>
          </w:tcPr>
          <w:p w14:paraId="6CBE6ED0" w14:textId="77777777" w:rsidR="00AC2D21" w:rsidRPr="00AC2D21" w:rsidRDefault="00AC2D21" w:rsidP="00AC2D21">
            <w:pPr>
              <w:spacing w:line="480" w:lineRule="auto"/>
              <w:rPr>
                <w:rFonts w:ascii="Helvetica" w:eastAsia="Times New Roman" w:hAnsi="Helvetica" w:cs="Times New Roman"/>
                <w:sz w:val="22"/>
                <w:szCs w:val="22"/>
                <w:lang w:eastAsia="es-MX"/>
              </w:rPr>
            </w:pPr>
          </w:p>
        </w:tc>
      </w:tr>
      <w:tr w:rsidR="00AC2D21" w:rsidRPr="00AC2D21" w14:paraId="1C25518B" w14:textId="77777777" w:rsidTr="00AC2D21">
        <w:trPr>
          <w:trHeight w:val="336"/>
        </w:trPr>
        <w:tc>
          <w:tcPr>
            <w:tcW w:w="9781" w:type="dxa"/>
            <w:gridSpan w:val="10"/>
            <w:tcMar>
              <w:top w:w="24" w:type="dxa"/>
              <w:left w:w="120" w:type="dxa"/>
              <w:bottom w:w="24" w:type="dxa"/>
              <w:right w:w="120" w:type="dxa"/>
            </w:tcMar>
            <w:hideMark/>
          </w:tcPr>
          <w:p w14:paraId="1007F3EC" w14:textId="77777777" w:rsidR="00AC2D21" w:rsidRPr="00AC2D21" w:rsidRDefault="00AC2D21" w:rsidP="00AC2D21">
            <w:pPr>
              <w:spacing w:line="480" w:lineRule="auto"/>
              <w:jc w:val="right"/>
              <w:rPr>
                <w:rFonts w:ascii="Helvetica" w:eastAsia="Times New Roman" w:hAnsi="Helvetica" w:cs="Times New Roman"/>
                <w:sz w:val="22"/>
                <w:szCs w:val="22"/>
                <w:lang w:eastAsia="es-MX"/>
              </w:rPr>
            </w:pPr>
          </w:p>
        </w:tc>
      </w:tr>
      <w:tr w:rsidR="00AC2D21" w:rsidRPr="00AC2D21" w14:paraId="54FBB7C5" w14:textId="77777777" w:rsidTr="00AC2D21">
        <w:trPr>
          <w:trHeight w:val="336"/>
        </w:trPr>
        <w:tc>
          <w:tcPr>
            <w:tcW w:w="5812" w:type="dxa"/>
            <w:gridSpan w:val="2"/>
            <w:tcMar>
              <w:top w:w="24" w:type="dxa"/>
              <w:left w:w="120" w:type="dxa"/>
              <w:bottom w:w="24" w:type="dxa"/>
              <w:right w:w="120" w:type="dxa"/>
            </w:tcMar>
            <w:hideMark/>
          </w:tcPr>
          <w:p w14:paraId="5EB60CCC" w14:textId="77777777" w:rsidR="00AC2D21" w:rsidRPr="00AC2D21" w:rsidRDefault="00AC2D21" w:rsidP="00AC2D21">
            <w:pPr>
              <w:spacing w:line="480" w:lineRule="auto"/>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Total de pasivo y capital contable</w:t>
            </w:r>
          </w:p>
        </w:tc>
        <w:tc>
          <w:tcPr>
            <w:tcW w:w="0" w:type="auto"/>
            <w:gridSpan w:val="2"/>
            <w:tcMar>
              <w:top w:w="24" w:type="dxa"/>
              <w:left w:w="120" w:type="dxa"/>
              <w:bottom w:w="24" w:type="dxa"/>
              <w:right w:w="120" w:type="dxa"/>
            </w:tcMar>
            <w:hideMark/>
          </w:tcPr>
          <w:p w14:paraId="0915DD02" w14:textId="77777777" w:rsidR="00AC2D21" w:rsidRPr="00AC2D21" w:rsidRDefault="00AC2D21" w:rsidP="00AC2D21">
            <w:pPr>
              <w:spacing w:line="480" w:lineRule="auto"/>
              <w:rPr>
                <w:rFonts w:ascii="Helvetica" w:eastAsia="Times New Roman" w:hAnsi="Helvetica" w:cs="Arial"/>
                <w:b/>
                <w:bCs/>
                <w:color w:val="000000"/>
                <w:sz w:val="22"/>
                <w:szCs w:val="22"/>
                <w:lang w:eastAsia="es-MX"/>
              </w:rPr>
            </w:pPr>
          </w:p>
        </w:tc>
        <w:tc>
          <w:tcPr>
            <w:tcW w:w="0" w:type="auto"/>
            <w:gridSpan w:val="2"/>
            <w:tcBorders>
              <w:top w:val="single" w:sz="6" w:space="0" w:color="000000"/>
              <w:bottom w:val="double" w:sz="6" w:space="0" w:color="auto"/>
            </w:tcBorders>
            <w:tcMar>
              <w:top w:w="24" w:type="dxa"/>
              <w:left w:w="120" w:type="dxa"/>
              <w:bottom w:w="24" w:type="dxa"/>
              <w:right w:w="120" w:type="dxa"/>
            </w:tcMar>
            <w:hideMark/>
          </w:tcPr>
          <w:p w14:paraId="26CC429C"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$7,910</w:t>
            </w:r>
          </w:p>
        </w:tc>
        <w:tc>
          <w:tcPr>
            <w:tcW w:w="0" w:type="auto"/>
            <w:gridSpan w:val="2"/>
            <w:tcMar>
              <w:top w:w="24" w:type="dxa"/>
              <w:left w:w="120" w:type="dxa"/>
              <w:bottom w:w="24" w:type="dxa"/>
              <w:right w:w="120" w:type="dxa"/>
            </w:tcMar>
            <w:hideMark/>
          </w:tcPr>
          <w:p w14:paraId="05242CF2"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p>
        </w:tc>
        <w:tc>
          <w:tcPr>
            <w:tcW w:w="0" w:type="auto"/>
            <w:gridSpan w:val="2"/>
            <w:tcBorders>
              <w:top w:val="single" w:sz="6" w:space="0" w:color="000000"/>
              <w:bottom w:val="double" w:sz="6" w:space="0" w:color="auto"/>
            </w:tcBorders>
            <w:tcMar>
              <w:top w:w="24" w:type="dxa"/>
              <w:left w:w="120" w:type="dxa"/>
              <w:bottom w:w="24" w:type="dxa"/>
              <w:right w:w="120" w:type="dxa"/>
            </w:tcMar>
            <w:hideMark/>
          </w:tcPr>
          <w:p w14:paraId="57DD0453"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$6,660</w:t>
            </w:r>
          </w:p>
        </w:tc>
      </w:tr>
    </w:tbl>
    <w:p w14:paraId="57C5F5AE" w14:textId="222DA2A0" w:rsid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w:t>
      </w:r>
    </w:p>
    <w:p w14:paraId="4BC4AB31" w14:textId="52E85330" w:rsidR="00AC2D21" w:rsidRDefault="00AC2D21" w:rsidP="00AC2D21">
      <w:pPr>
        <w:spacing w:before="240" w:line="480" w:lineRule="auto"/>
        <w:jc w:val="both"/>
        <w:rPr>
          <w:rFonts w:ascii="Helvetica" w:eastAsia="Times New Roman" w:hAnsi="Helvetica" w:cs="Arial"/>
          <w:color w:val="000000"/>
          <w:sz w:val="22"/>
          <w:szCs w:val="22"/>
          <w:lang w:eastAsia="es-MX"/>
        </w:rPr>
      </w:pPr>
    </w:p>
    <w:p w14:paraId="35CC30DB" w14:textId="757B01EB" w:rsidR="00AC2D21" w:rsidRDefault="00AC2D21" w:rsidP="00AC2D21">
      <w:pPr>
        <w:spacing w:before="240" w:line="480" w:lineRule="auto"/>
        <w:jc w:val="both"/>
        <w:rPr>
          <w:rFonts w:ascii="Helvetica" w:eastAsia="Times New Roman" w:hAnsi="Helvetica" w:cs="Arial"/>
          <w:color w:val="000000"/>
          <w:sz w:val="22"/>
          <w:szCs w:val="22"/>
          <w:lang w:eastAsia="es-MX"/>
        </w:rPr>
      </w:pPr>
    </w:p>
    <w:p w14:paraId="0B0595B3" w14:textId="704CBB48" w:rsidR="00AC2D21" w:rsidRDefault="00AC2D21" w:rsidP="00AC2D21">
      <w:pPr>
        <w:spacing w:before="240" w:line="480" w:lineRule="auto"/>
        <w:jc w:val="both"/>
        <w:rPr>
          <w:rFonts w:ascii="Helvetica" w:eastAsia="Times New Roman" w:hAnsi="Helvetica" w:cs="Arial"/>
          <w:color w:val="000000"/>
          <w:sz w:val="22"/>
          <w:szCs w:val="22"/>
          <w:lang w:eastAsia="es-MX"/>
        </w:rPr>
      </w:pPr>
    </w:p>
    <w:p w14:paraId="4AB9AF65"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p>
    <w:p w14:paraId="606EEA60" w14:textId="77777777" w:rsidR="00AC2D21" w:rsidRPr="00AC2D21" w:rsidRDefault="00AC2D21" w:rsidP="00AC2D21">
      <w:pPr>
        <w:spacing w:before="240" w:line="480" w:lineRule="auto"/>
        <w:jc w:val="center"/>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lastRenderedPageBreak/>
        <w:t>La Comercial, S.A. de C. V.</w:t>
      </w:r>
    </w:p>
    <w:p w14:paraId="1A2260BC" w14:textId="77777777" w:rsidR="00AC2D21" w:rsidRPr="00AC2D21" w:rsidRDefault="00AC2D21" w:rsidP="00AC2D21">
      <w:pPr>
        <w:spacing w:before="240" w:line="480" w:lineRule="auto"/>
        <w:jc w:val="center"/>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Estado de resultados del 1o. de enero al 31 de diciembre de X2.</w:t>
      </w:r>
    </w:p>
    <w:p w14:paraId="33E5C970"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Ventas</w:t>
      </w:r>
    </w:p>
    <w:p w14:paraId="116DAFEC"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$30,650</w:t>
      </w:r>
    </w:p>
    <w:p w14:paraId="3802A93B"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Costo de ventas</w:t>
      </w:r>
    </w:p>
    <w:p w14:paraId="5923149F"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25,750</w:t>
      </w:r>
    </w:p>
    <w:p w14:paraId="31DB0FF3"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Utilidad bruta</w:t>
      </w:r>
    </w:p>
    <w:p w14:paraId="3BFF9E3E"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4,900</w:t>
      </w:r>
    </w:p>
    <w:p w14:paraId="58667681"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w:t>
      </w:r>
    </w:p>
    <w:p w14:paraId="6DDD25BA"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Gastos de administración y venta</w:t>
      </w:r>
    </w:p>
    <w:p w14:paraId="57FD3BDE"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820</w:t>
      </w:r>
    </w:p>
    <w:p w14:paraId="28EE91AF"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Depreciación</w:t>
      </w:r>
    </w:p>
    <w:p w14:paraId="6357BED7"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450</w:t>
      </w:r>
    </w:p>
    <w:p w14:paraId="384116E5"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Otros ingresos y gastos</w:t>
      </w:r>
    </w:p>
    <w:p w14:paraId="34183266"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10</w:t>
      </w:r>
    </w:p>
    <w:p w14:paraId="1F52396A"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w:t>
      </w:r>
    </w:p>
    <w:p w14:paraId="3071607D"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Resultado integral de financiamiento</w:t>
      </w:r>
    </w:p>
    <w:p w14:paraId="088F721B"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Intereses a cargo</w:t>
      </w:r>
    </w:p>
    <w:p w14:paraId="02192F5C"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400</w:t>
      </w:r>
    </w:p>
    <w:p w14:paraId="1B3A7CB8"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lastRenderedPageBreak/>
        <w:t>Intereses a favor</w:t>
      </w:r>
    </w:p>
    <w:p w14:paraId="2DCF5D56"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50</w:t>
      </w:r>
    </w:p>
    <w:p w14:paraId="073C8975"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Pérdida cambiaria</w:t>
      </w:r>
    </w:p>
    <w:p w14:paraId="3871FF7B"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40</w:t>
      </w:r>
    </w:p>
    <w:p w14:paraId="0862F172"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w:t>
      </w:r>
    </w:p>
    <w:p w14:paraId="56D55B22"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Dividendos recibidos</w:t>
      </w:r>
    </w:p>
    <w:p w14:paraId="52161472" w14:textId="77777777" w:rsidR="00AC2D21" w:rsidRPr="00AC2D21" w:rsidRDefault="00AC2D21" w:rsidP="00AC2D21">
      <w:pPr>
        <w:pBdr>
          <w:bottom w:val="single" w:sz="6" w:space="0" w:color="000000"/>
        </w:pBd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100</w:t>
      </w:r>
    </w:p>
    <w:p w14:paraId="341B453D" w14:textId="77777777" w:rsidR="00AC2D21" w:rsidRPr="00AC2D21" w:rsidRDefault="00AC2D21" w:rsidP="00AC2D21">
      <w:pPr>
        <w:spacing w:before="240" w:line="480" w:lineRule="auto"/>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Utilidad antes de impuestos a la utilidad</w:t>
      </w:r>
    </w:p>
    <w:p w14:paraId="153BF740"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3,350</w:t>
      </w:r>
    </w:p>
    <w:p w14:paraId="38890DAB"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w:t>
      </w:r>
    </w:p>
    <w:p w14:paraId="7CDE3488"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Impuestos a la utilidad</w:t>
      </w:r>
    </w:p>
    <w:p w14:paraId="73923652"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300</w:t>
      </w:r>
    </w:p>
    <w:p w14:paraId="4B3ADDCD"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w:t>
      </w:r>
    </w:p>
    <w:p w14:paraId="2C5BDE9C" w14:textId="77777777" w:rsidR="00AC2D21" w:rsidRPr="00AC2D21" w:rsidRDefault="00AC2D21" w:rsidP="00AC2D21">
      <w:pPr>
        <w:spacing w:before="240" w:line="480" w:lineRule="auto"/>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Utilidad neta</w:t>
      </w:r>
    </w:p>
    <w:p w14:paraId="3817EB3B" w14:textId="77777777"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5B77D80B" w14:textId="25665829"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r w:rsidRPr="00AC2D21">
        <w:rPr>
          <w:rFonts w:ascii="Helvetica" w:eastAsia="Times New Roman" w:hAnsi="Helvetica" w:cs="Arial"/>
          <w:b/>
          <w:bCs/>
          <w:color w:val="000000"/>
          <w:sz w:val="22"/>
          <w:szCs w:val="22"/>
          <w:bdr w:val="single" w:sz="6" w:space="0" w:color="000000" w:frame="1"/>
          <w:lang w:eastAsia="es-MX"/>
        </w:rPr>
        <w:t>$3,050</w:t>
      </w:r>
    </w:p>
    <w:p w14:paraId="6250E486" w14:textId="545BDB65"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62FC8F0D" w14:textId="0E08CC01"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0286F385" w14:textId="0E38EECA"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392D7B13" w14:textId="20D76185"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01C4E816" w14:textId="7A085361"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2C73A3B5" w14:textId="01F870E5" w:rsidR="00AC2D21" w:rsidRDefault="00AD32C1" w:rsidP="00AC2D21">
      <w:pPr>
        <w:spacing w:line="480" w:lineRule="auto"/>
        <w:jc w:val="right"/>
        <w:rPr>
          <w:rFonts w:ascii="Helvetica" w:eastAsia="Times New Roman" w:hAnsi="Helvetica" w:cs="Arial"/>
          <w:b/>
          <w:bCs/>
          <w:color w:val="000000"/>
          <w:sz w:val="22"/>
          <w:szCs w:val="22"/>
          <w:bdr w:val="single" w:sz="6" w:space="0" w:color="000000" w:frame="1"/>
          <w:lang w:eastAsia="es-MX"/>
        </w:rPr>
      </w:pPr>
      <w:r w:rsidRPr="00AC2D21">
        <w:rPr>
          <w:rFonts w:ascii="Helvetica" w:eastAsia="Times New Roman" w:hAnsi="Helvetica" w:cs="Arial"/>
          <w:color w:val="000000"/>
          <w:sz w:val="22"/>
          <w:szCs w:val="22"/>
          <w:lang w:eastAsia="es-MX"/>
        </w:rPr>
        <w:lastRenderedPageBreak/>
        <w:fldChar w:fldCharType="begin"/>
      </w:r>
      <w:r w:rsidRPr="00AC2D21">
        <w:rPr>
          <w:rFonts w:ascii="Helvetica" w:eastAsia="Times New Roman" w:hAnsi="Helvetica" w:cs="Arial"/>
          <w:color w:val="000000"/>
          <w:sz w:val="22"/>
          <w:szCs w:val="22"/>
          <w:lang w:eastAsia="es-MX"/>
        </w:rPr>
        <w:instrText xml:space="preserve"> INCLUDEPICTURE "/var/folders/m8/21blh1bs78ldl91nl112f5_40000gn/T/com.microsoft.Word/WebArchiveCopyPasteTempFiles/pg203_001.jpg" \* MERGEFORMATINET </w:instrText>
      </w:r>
      <w:r w:rsidRPr="00AC2D21">
        <w:rPr>
          <w:rFonts w:ascii="Helvetica" w:eastAsia="Times New Roman" w:hAnsi="Helvetica" w:cs="Arial"/>
          <w:color w:val="000000"/>
          <w:sz w:val="22"/>
          <w:szCs w:val="22"/>
          <w:lang w:eastAsia="es-MX"/>
        </w:rPr>
        <w:fldChar w:fldCharType="separate"/>
      </w:r>
      <w:r w:rsidRPr="00AC2D21">
        <w:rPr>
          <w:rFonts w:ascii="Helvetica" w:eastAsia="Times New Roman" w:hAnsi="Helvetica" w:cs="Arial"/>
          <w:noProof/>
          <w:color w:val="000000"/>
          <w:sz w:val="22"/>
          <w:szCs w:val="22"/>
          <w:lang w:eastAsia="es-MX"/>
        </w:rPr>
        <w:drawing>
          <wp:inline distT="0" distB="0" distL="0" distR="0" wp14:anchorId="330FBB1D" wp14:editId="4E789912">
            <wp:extent cx="6003071" cy="4171856"/>
            <wp:effectExtent l="0" t="0" r="4445" b="0"/>
            <wp:docPr id="3" name="Imagen 3" descr="pg2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203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5321" cy="4201218"/>
                    </a:xfrm>
                    <a:prstGeom prst="rect">
                      <a:avLst/>
                    </a:prstGeom>
                    <a:noFill/>
                    <a:ln>
                      <a:noFill/>
                    </a:ln>
                  </pic:spPr>
                </pic:pic>
              </a:graphicData>
            </a:graphic>
          </wp:inline>
        </w:drawing>
      </w:r>
      <w:r w:rsidRPr="00AC2D21">
        <w:rPr>
          <w:rFonts w:ascii="Helvetica" w:eastAsia="Times New Roman" w:hAnsi="Helvetica" w:cs="Arial"/>
          <w:color w:val="000000"/>
          <w:sz w:val="22"/>
          <w:szCs w:val="22"/>
          <w:lang w:eastAsia="es-MX"/>
        </w:rPr>
        <w:fldChar w:fldCharType="end"/>
      </w:r>
    </w:p>
    <w:p w14:paraId="47ECA97B" w14:textId="332EE15C"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631FBB36" w14:textId="535DF596"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56A355B4" w14:textId="531BCEE7"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6CDD5F10" w14:textId="0394DF47"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01466104" w14:textId="04048F1A"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3DF29836" w14:textId="1EC624B2"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327A896C" w14:textId="21F6B606"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10B1CA17" w14:textId="0FA299E4"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6BF688E1" w14:textId="6BEE23C2"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29DECBC7" w14:textId="633C6656"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1F2ED14D" w14:textId="62204B91"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0BFFD64A" w14:textId="70CC9BD6"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74836177" w14:textId="6F3F14D4"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620EF9EE" w14:textId="73971578"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061FA006" w14:textId="064AAA60"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7976CE15" w14:textId="5DCCF815"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1B563298" w14:textId="54DFB973"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25DA4E84" w14:textId="4302DA58"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5F7F4B3E" w14:textId="31766B3B"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26FC8AE1" w14:textId="4168A86A" w:rsidR="00AC2D21" w:rsidRDefault="00AC2D21" w:rsidP="00AC2D21">
      <w:pPr>
        <w:spacing w:line="480" w:lineRule="auto"/>
        <w:jc w:val="right"/>
        <w:rPr>
          <w:rFonts w:ascii="Helvetica" w:eastAsia="Times New Roman" w:hAnsi="Helvetica" w:cs="Arial"/>
          <w:b/>
          <w:bCs/>
          <w:color w:val="000000"/>
          <w:sz w:val="22"/>
          <w:szCs w:val="22"/>
          <w:bdr w:val="single" w:sz="6" w:space="0" w:color="000000" w:frame="1"/>
          <w:lang w:eastAsia="es-MX"/>
        </w:rPr>
      </w:pPr>
    </w:p>
    <w:p w14:paraId="6711B9B4"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p>
    <w:p w14:paraId="1FA801E1" w14:textId="17E28EC3" w:rsidR="00AC2D21" w:rsidRPr="00AC2D21" w:rsidRDefault="00AC2D21" w:rsidP="00AC2D21">
      <w:pPr>
        <w:spacing w:before="240" w:line="480" w:lineRule="auto"/>
        <w:jc w:val="center"/>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fldChar w:fldCharType="begin"/>
      </w:r>
      <w:r w:rsidRPr="00AC2D21">
        <w:rPr>
          <w:rFonts w:ascii="Helvetica" w:eastAsia="Times New Roman" w:hAnsi="Helvetica" w:cs="Arial"/>
          <w:color w:val="000000"/>
          <w:sz w:val="22"/>
          <w:szCs w:val="22"/>
          <w:lang w:eastAsia="es-MX"/>
        </w:rPr>
        <w:instrText xml:space="preserve"> INCLUDEPICTURE "/var/folders/m8/21blh1bs78ldl91nl112f5_40000gn/T/com.microsoft.Word/WebArchiveCopyPasteTempFiles/pg203_001.jpg" \* MERGEFORMATINET </w:instrText>
      </w:r>
      <w:r w:rsidRPr="00AC2D21">
        <w:rPr>
          <w:rFonts w:ascii="Helvetica" w:eastAsia="Times New Roman" w:hAnsi="Helvetica" w:cs="Arial"/>
          <w:color w:val="000000"/>
          <w:sz w:val="22"/>
          <w:szCs w:val="22"/>
          <w:lang w:eastAsia="es-MX"/>
        </w:rPr>
        <w:fldChar w:fldCharType="separate"/>
      </w:r>
      <w:r w:rsidRPr="00AC2D21">
        <w:rPr>
          <w:rFonts w:ascii="Helvetica" w:eastAsia="Times New Roman" w:hAnsi="Helvetica" w:cs="Arial"/>
          <w:noProof/>
          <w:color w:val="000000"/>
          <w:sz w:val="22"/>
          <w:szCs w:val="22"/>
          <w:lang w:eastAsia="es-MX"/>
        </w:rPr>
        <w:drawing>
          <wp:inline distT="0" distB="0" distL="0" distR="0" wp14:anchorId="104C50F6" wp14:editId="01D65E0B">
            <wp:extent cx="5612130" cy="3900170"/>
            <wp:effectExtent l="0" t="0" r="1270" b="0"/>
            <wp:docPr id="2" name="Imagen 2" descr="pg2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203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3900170"/>
                    </a:xfrm>
                    <a:prstGeom prst="rect">
                      <a:avLst/>
                    </a:prstGeom>
                    <a:noFill/>
                    <a:ln>
                      <a:noFill/>
                    </a:ln>
                  </pic:spPr>
                </pic:pic>
              </a:graphicData>
            </a:graphic>
          </wp:inline>
        </w:drawing>
      </w:r>
      <w:r w:rsidRPr="00AC2D21">
        <w:rPr>
          <w:rFonts w:ascii="Helvetica" w:eastAsia="Times New Roman" w:hAnsi="Helvetica" w:cs="Arial"/>
          <w:color w:val="000000"/>
          <w:sz w:val="22"/>
          <w:szCs w:val="22"/>
          <w:lang w:eastAsia="es-MX"/>
        </w:rPr>
        <w:fldChar w:fldCharType="end"/>
      </w:r>
    </w:p>
    <w:p w14:paraId="0B5CCD17"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La descripción de las eliminaciones efectuadas en la hoja de trabajo para determinar el estado de flujos de efectivo con el método directo, es la siguiente:</w:t>
      </w:r>
    </w:p>
    <w:p w14:paraId="02348F40" w14:textId="77777777" w:rsidR="00AC2D21" w:rsidRPr="00AC2D21" w:rsidRDefault="00AC2D21" w:rsidP="00AC2D21">
      <w:pPr>
        <w:spacing w:before="240" w:line="480" w:lineRule="auto"/>
        <w:ind w:left="72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lastRenderedPageBreak/>
        <w:t>Determinación de las actividades de operación</w:t>
      </w:r>
    </w:p>
    <w:p w14:paraId="35683DF4"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1</w:t>
      </w:r>
      <w:r w:rsidRPr="00AC2D21">
        <w:rPr>
          <w:rFonts w:ascii="Helvetica" w:eastAsia="Times New Roman" w:hAnsi="Helvetica" w:cs="Arial"/>
          <w:b/>
          <w:bCs/>
          <w:color w:val="000000"/>
          <w:sz w:val="22"/>
          <w:szCs w:val="22"/>
          <w:lang w:eastAsia="es-MX"/>
        </w:rPr>
        <w:t>.</w:t>
      </w:r>
    </w:p>
    <w:p w14:paraId="7B1D79DA"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Cobros a clientes</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modifican las ventas para determinar el cobro a clientes por $30,110. Lo anterior se determinó como sigue:</w:t>
      </w:r>
    </w:p>
    <w:p w14:paraId="34D8AA97" w14:textId="77777777" w:rsidR="00AC2D21" w:rsidRPr="00AC2D21" w:rsidRDefault="00AC2D21" w:rsidP="00AC2D21">
      <w:pPr>
        <w:spacing w:before="240" w:line="480" w:lineRule="auto"/>
        <w:ind w:left="168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Cobros a clientes</w:t>
      </w:r>
    </w:p>
    <w:p w14:paraId="77152936" w14:textId="77777777" w:rsidR="00AC2D21" w:rsidRPr="00AC2D21" w:rsidRDefault="00AC2D21" w:rsidP="00AC2D21">
      <w:pPr>
        <w:spacing w:before="240" w:line="480" w:lineRule="auto"/>
        <w:ind w:left="168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Movimiento en cuentas por cobrar a clientes</w:t>
      </w:r>
    </w:p>
    <w:p w14:paraId="01DAEBF7" w14:textId="77777777" w:rsidR="00AC2D21" w:rsidRPr="00AC2D21" w:rsidRDefault="00AC2D21" w:rsidP="00AC2D21">
      <w:pPr>
        <w:spacing w:before="240" w:line="480" w:lineRule="auto"/>
        <w:ind w:left="168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Saldo inicial cuentas por cobrar a clientes</w:t>
      </w:r>
    </w:p>
    <w:p w14:paraId="469B1336" w14:textId="77777777" w:rsidR="00AC2D21" w:rsidRPr="00AC2D21" w:rsidRDefault="00AC2D21" w:rsidP="00AC2D21">
      <w:pPr>
        <w:spacing w:line="480" w:lineRule="auto"/>
        <w:ind w:right="720"/>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$1,700</w:t>
      </w:r>
    </w:p>
    <w:p w14:paraId="463CC61A" w14:textId="77777777" w:rsidR="00AC2D21" w:rsidRPr="00AC2D21" w:rsidRDefault="00AC2D21" w:rsidP="00AC2D21">
      <w:pPr>
        <w:spacing w:before="240" w:line="480" w:lineRule="auto"/>
        <w:ind w:left="168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Cuentas por cobrar del negocio adquirido</w:t>
      </w:r>
    </w:p>
    <w:p w14:paraId="2488A8DE" w14:textId="77777777" w:rsidR="00AC2D21" w:rsidRPr="00AC2D21" w:rsidRDefault="00AC2D21" w:rsidP="00AC2D21">
      <w:pPr>
        <w:spacing w:line="480" w:lineRule="auto"/>
        <w:ind w:right="720"/>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100</w:t>
      </w:r>
    </w:p>
    <w:p w14:paraId="29C302D3" w14:textId="77777777" w:rsidR="00AC2D21" w:rsidRPr="00AC2D21" w:rsidRDefault="00AC2D21" w:rsidP="00AC2D21">
      <w:pPr>
        <w:spacing w:before="240" w:line="480" w:lineRule="auto"/>
        <w:ind w:left="168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Saldo final cuentas por cobrar a clientes</w:t>
      </w:r>
    </w:p>
    <w:p w14:paraId="395018A4" w14:textId="77777777" w:rsidR="00AC2D21" w:rsidRPr="00AC2D21" w:rsidRDefault="00AC2D21" w:rsidP="00AC2D21">
      <w:pPr>
        <w:spacing w:line="480" w:lineRule="auto"/>
        <w:ind w:right="720"/>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2,300</w:t>
      </w:r>
    </w:p>
    <w:p w14:paraId="50CE2A10" w14:textId="77777777" w:rsidR="00AC2D21" w:rsidRPr="00AC2D21" w:rsidRDefault="00AC2D21" w:rsidP="00AC2D21">
      <w:pPr>
        <w:spacing w:before="240" w:line="480" w:lineRule="auto"/>
        <w:ind w:left="192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Movimiento en cuentas por cobrar a clientes</w:t>
      </w:r>
    </w:p>
    <w:p w14:paraId="10308387" w14:textId="77777777" w:rsidR="00AC2D21" w:rsidRPr="00AC2D21" w:rsidRDefault="00AC2D21" w:rsidP="00AC2D21">
      <w:pPr>
        <w:spacing w:line="480" w:lineRule="auto"/>
        <w:ind w:right="720"/>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500</w:t>
      </w:r>
    </w:p>
    <w:p w14:paraId="3032921C" w14:textId="77777777" w:rsidR="00AC2D21" w:rsidRPr="00AC2D21" w:rsidRDefault="00AC2D21" w:rsidP="00AC2D21">
      <w:pPr>
        <w:spacing w:before="240" w:line="480" w:lineRule="auto"/>
        <w:ind w:left="168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Ventas del periodo</w:t>
      </w:r>
    </w:p>
    <w:p w14:paraId="1F1BFB44" w14:textId="77777777" w:rsidR="00AC2D21" w:rsidRPr="00AC2D21" w:rsidRDefault="00AC2D21" w:rsidP="00AC2D21">
      <w:pPr>
        <w:spacing w:line="480" w:lineRule="auto"/>
        <w:ind w:right="720"/>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30,650</w:t>
      </w:r>
    </w:p>
    <w:p w14:paraId="0F8310EF" w14:textId="77777777" w:rsidR="00AC2D21" w:rsidRPr="00AC2D21" w:rsidRDefault="00AC2D21" w:rsidP="00AC2D21">
      <w:pPr>
        <w:spacing w:before="240" w:line="480" w:lineRule="auto"/>
        <w:ind w:left="168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 Fluctuación cambiaría en cuentas por cobrar</w:t>
      </w:r>
    </w:p>
    <w:p w14:paraId="322D6144" w14:textId="77777777" w:rsidR="00AC2D21" w:rsidRPr="00AC2D21" w:rsidRDefault="00AC2D21" w:rsidP="00AC2D21">
      <w:pPr>
        <w:spacing w:line="480" w:lineRule="auto"/>
        <w:ind w:right="720"/>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40</w:t>
      </w:r>
    </w:p>
    <w:p w14:paraId="11F92946" w14:textId="77777777" w:rsidR="00AC2D21" w:rsidRPr="00AC2D21" w:rsidRDefault="00AC2D21" w:rsidP="00AC2D21">
      <w:pPr>
        <w:spacing w:before="240" w:line="480" w:lineRule="auto"/>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Cobros a clientes</w:t>
      </w:r>
    </w:p>
    <w:p w14:paraId="1EB1256B" w14:textId="77777777" w:rsidR="00AC2D21" w:rsidRPr="00AC2D21" w:rsidRDefault="00AC2D21" w:rsidP="00AC2D21">
      <w:pPr>
        <w:spacing w:line="480" w:lineRule="auto"/>
        <w:ind w:right="720"/>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$30,110</w:t>
      </w:r>
    </w:p>
    <w:p w14:paraId="0CF53C30" w14:textId="77777777" w:rsidR="00AC2D21" w:rsidRPr="00AC2D21" w:rsidRDefault="00AC2D21" w:rsidP="00AC2D21">
      <w:pPr>
        <w:spacing w:before="240"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color w:val="000000"/>
          <w:sz w:val="22"/>
          <w:szCs w:val="22"/>
          <w:lang w:eastAsia="es-MX"/>
        </w:rPr>
        <w:lastRenderedPageBreak/>
        <w:t>NOTA:</w:t>
      </w:r>
      <w:r w:rsidRPr="00AC2D21">
        <w:rPr>
          <w:rFonts w:ascii="Helvetica" w:eastAsia="Times New Roman" w:hAnsi="Helvetica" w:cs="Arial"/>
          <w:color w:val="000000"/>
          <w:sz w:val="22"/>
          <w:szCs w:val="22"/>
          <w:lang w:eastAsia="es-MX"/>
        </w:rPr>
        <w:t> El flujo de efectivo derivado del cobro a clientes debe incluir el Impuesto al Valor Agregado (IVA).</w:t>
      </w:r>
    </w:p>
    <w:p w14:paraId="3712A766"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2</w:t>
      </w:r>
      <w:r w:rsidRPr="00AC2D21">
        <w:rPr>
          <w:rFonts w:ascii="Helvetica" w:eastAsia="Times New Roman" w:hAnsi="Helvetica" w:cs="Arial"/>
          <w:b/>
          <w:bCs/>
          <w:color w:val="000000"/>
          <w:sz w:val="22"/>
          <w:szCs w:val="22"/>
          <w:lang w:eastAsia="es-MX"/>
        </w:rPr>
        <w:t>.</w:t>
      </w:r>
    </w:p>
    <w:p w14:paraId="61ACC31A"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Pagos a proveedores de inventarios</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modificó el costo de ventas del periodo para determinar los pagos a proveedores de inventarios por $26,440. Lo anterior se determinó como sigue:</w:t>
      </w:r>
    </w:p>
    <w:p w14:paraId="3BC5AE7D" w14:textId="77777777" w:rsidR="00AC2D21" w:rsidRPr="00AC2D21" w:rsidRDefault="00AC2D21" w:rsidP="00AC2D21">
      <w:pPr>
        <w:spacing w:before="240" w:line="480" w:lineRule="auto"/>
        <w:ind w:left="1680"/>
        <w:jc w:val="both"/>
        <w:rPr>
          <w:rFonts w:ascii="Helvetica" w:eastAsia="Times New Roman" w:hAnsi="Helvetica" w:cs="Arial"/>
          <w:b/>
          <w:bCs/>
          <w:i/>
          <w:iCs/>
          <w:color w:val="000000"/>
          <w:sz w:val="22"/>
          <w:szCs w:val="22"/>
          <w:lang w:eastAsia="es-MX"/>
        </w:rPr>
      </w:pPr>
      <w:r w:rsidRPr="00AC2D21">
        <w:rPr>
          <w:rFonts w:ascii="Helvetica" w:eastAsia="Times New Roman" w:hAnsi="Helvetica" w:cs="Arial"/>
          <w:b/>
          <w:bCs/>
          <w:i/>
          <w:iCs/>
          <w:color w:val="000000"/>
          <w:sz w:val="22"/>
          <w:szCs w:val="22"/>
          <w:lang w:eastAsia="es-MX"/>
        </w:rPr>
        <w:t>Pagos a proveedores de inventarios</w:t>
      </w:r>
    </w:p>
    <w:p w14:paraId="29C3B66C" w14:textId="77777777" w:rsidR="00AC2D21" w:rsidRPr="00AC2D21" w:rsidRDefault="00AC2D21" w:rsidP="00AC2D21">
      <w:pPr>
        <w:spacing w:before="240" w:line="480" w:lineRule="auto"/>
        <w:ind w:left="168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Movimiento en cuenta de proveedores</w:t>
      </w:r>
    </w:p>
    <w:p w14:paraId="543A0BE0" w14:textId="77777777" w:rsidR="00AC2D21" w:rsidRPr="00AC2D21" w:rsidRDefault="00AC2D21" w:rsidP="00AC2D21">
      <w:pPr>
        <w:spacing w:before="240" w:line="480" w:lineRule="auto"/>
        <w:ind w:left="168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Sado inicial en la cuenta de proveedores</w:t>
      </w:r>
    </w:p>
    <w:p w14:paraId="51E66485" w14:textId="77777777" w:rsidR="00AC2D21" w:rsidRPr="00AC2D21" w:rsidRDefault="00AC2D21" w:rsidP="00AC2D21">
      <w:pPr>
        <w:spacing w:line="480" w:lineRule="auto"/>
        <w:ind w:right="720"/>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$1,890</w:t>
      </w:r>
    </w:p>
    <w:p w14:paraId="0EAB1B7C" w14:textId="77777777" w:rsidR="00AC2D21" w:rsidRPr="00AC2D21" w:rsidRDefault="00AC2D21" w:rsidP="00AC2D21">
      <w:pPr>
        <w:spacing w:before="240" w:line="480" w:lineRule="auto"/>
        <w:ind w:left="168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Cuenta de proveedores del negocio adquirido</w:t>
      </w:r>
    </w:p>
    <w:p w14:paraId="554A1D5E" w14:textId="77777777" w:rsidR="00AC2D21" w:rsidRPr="00AC2D21" w:rsidRDefault="00AC2D21" w:rsidP="00AC2D21">
      <w:pPr>
        <w:spacing w:line="480" w:lineRule="auto"/>
        <w:ind w:right="720"/>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100</w:t>
      </w:r>
    </w:p>
    <w:p w14:paraId="17557744" w14:textId="77777777" w:rsidR="00AC2D21" w:rsidRPr="00AC2D21" w:rsidRDefault="00AC2D21" w:rsidP="00AC2D21">
      <w:pPr>
        <w:spacing w:before="240" w:line="480" w:lineRule="auto"/>
        <w:ind w:left="168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Saldo final de la cuenta de proveedores</w:t>
      </w:r>
    </w:p>
    <w:p w14:paraId="44CD368E" w14:textId="77777777" w:rsidR="00AC2D21" w:rsidRPr="00AC2D21" w:rsidRDefault="00AC2D21" w:rsidP="00AC2D21">
      <w:pPr>
        <w:spacing w:line="480" w:lineRule="auto"/>
        <w:ind w:right="720"/>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250</w:t>
      </w:r>
    </w:p>
    <w:p w14:paraId="0FB2D109" w14:textId="77777777" w:rsidR="00AC2D21" w:rsidRPr="00AC2D21" w:rsidRDefault="00AC2D21" w:rsidP="00AC2D21">
      <w:pPr>
        <w:spacing w:before="240" w:line="480" w:lineRule="auto"/>
        <w:ind w:left="192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Movimiento en la cuenta de proveedores</w:t>
      </w:r>
    </w:p>
    <w:p w14:paraId="5A0A0BE0" w14:textId="77777777" w:rsidR="00AC2D21" w:rsidRPr="00AC2D21" w:rsidRDefault="00AC2D21" w:rsidP="00AC2D21">
      <w:pPr>
        <w:spacing w:line="480" w:lineRule="auto"/>
        <w:ind w:right="720"/>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1,740</w:t>
      </w:r>
    </w:p>
    <w:p w14:paraId="4E7686C3" w14:textId="77777777" w:rsidR="00AC2D21" w:rsidRPr="00AC2D21" w:rsidRDefault="00AC2D21" w:rsidP="00AC2D21">
      <w:pPr>
        <w:spacing w:before="240" w:line="480" w:lineRule="auto"/>
        <w:ind w:left="168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Movimiento en la cuenta de inventarios</w:t>
      </w:r>
    </w:p>
    <w:p w14:paraId="341CC061" w14:textId="77777777" w:rsidR="00AC2D21" w:rsidRPr="00AC2D21" w:rsidRDefault="00AC2D21" w:rsidP="00AC2D21">
      <w:pPr>
        <w:spacing w:before="240" w:line="480" w:lineRule="auto"/>
        <w:ind w:left="168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Saldo inicial de la cuenta de inventarios</w:t>
      </w:r>
    </w:p>
    <w:p w14:paraId="4E0D2566" w14:textId="77777777" w:rsidR="00AC2D21" w:rsidRPr="00AC2D21" w:rsidRDefault="00AC2D21" w:rsidP="00AC2D21">
      <w:pPr>
        <w:spacing w:line="480" w:lineRule="auto"/>
        <w:ind w:right="720"/>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1,950</w:t>
      </w:r>
    </w:p>
    <w:p w14:paraId="6960A3ED" w14:textId="77777777" w:rsidR="00AC2D21" w:rsidRPr="00AC2D21" w:rsidRDefault="00AC2D21" w:rsidP="00AC2D21">
      <w:pPr>
        <w:spacing w:before="240" w:line="480" w:lineRule="auto"/>
        <w:ind w:left="168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Inventarios del negocio adquirido</w:t>
      </w:r>
    </w:p>
    <w:p w14:paraId="3B7DAE30" w14:textId="77777777" w:rsidR="00AC2D21" w:rsidRPr="00AC2D21" w:rsidRDefault="00AC2D21" w:rsidP="00AC2D21">
      <w:pPr>
        <w:spacing w:line="480" w:lineRule="auto"/>
        <w:ind w:right="720"/>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lastRenderedPageBreak/>
        <w:t>100</w:t>
      </w:r>
    </w:p>
    <w:p w14:paraId="5F904146" w14:textId="77777777" w:rsidR="00AC2D21" w:rsidRPr="00AC2D21" w:rsidRDefault="00AC2D21" w:rsidP="00AC2D21">
      <w:pPr>
        <w:spacing w:before="240" w:line="480" w:lineRule="auto"/>
        <w:ind w:left="168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Saldo final de la cuenta de inventarios</w:t>
      </w:r>
    </w:p>
    <w:p w14:paraId="3C251277" w14:textId="77777777" w:rsidR="00AC2D21" w:rsidRPr="00AC2D21" w:rsidRDefault="00AC2D21" w:rsidP="00AC2D21">
      <w:pPr>
        <w:spacing w:line="480" w:lineRule="auto"/>
        <w:ind w:right="720"/>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1,000</w:t>
      </w:r>
    </w:p>
    <w:p w14:paraId="7542389E" w14:textId="77777777" w:rsidR="00AC2D21" w:rsidRPr="00AC2D21" w:rsidRDefault="00AC2D21" w:rsidP="00AC2D21">
      <w:pPr>
        <w:spacing w:before="240" w:line="480" w:lineRule="auto"/>
        <w:ind w:left="192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Suma</w:t>
      </w:r>
    </w:p>
    <w:p w14:paraId="0882F9FE" w14:textId="77777777" w:rsidR="00AC2D21" w:rsidRPr="00AC2D21" w:rsidRDefault="00AC2D21" w:rsidP="00AC2D21">
      <w:pPr>
        <w:spacing w:line="480" w:lineRule="auto"/>
        <w:ind w:right="720"/>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1,050</w:t>
      </w:r>
    </w:p>
    <w:p w14:paraId="23BD2AAA" w14:textId="77777777" w:rsidR="00AC2D21" w:rsidRPr="00AC2D21" w:rsidRDefault="00AC2D21" w:rsidP="00AC2D21">
      <w:pPr>
        <w:spacing w:before="240" w:line="480" w:lineRule="auto"/>
        <w:ind w:left="168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Costo de ventas del periodo</w:t>
      </w:r>
    </w:p>
    <w:p w14:paraId="2B1A87BD" w14:textId="77777777" w:rsidR="00AC2D21" w:rsidRPr="00AC2D21" w:rsidRDefault="00AC2D21" w:rsidP="00AC2D21">
      <w:pPr>
        <w:spacing w:line="480" w:lineRule="auto"/>
        <w:ind w:right="720"/>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25,750</w:t>
      </w:r>
    </w:p>
    <w:p w14:paraId="33D6182E" w14:textId="77777777" w:rsidR="00AC2D21" w:rsidRPr="00AC2D21" w:rsidRDefault="00AC2D21" w:rsidP="00AC2D21">
      <w:pPr>
        <w:spacing w:before="240" w:line="480" w:lineRule="auto"/>
        <w:ind w:left="192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Movimiento en inventarios</w:t>
      </w:r>
    </w:p>
    <w:p w14:paraId="376A713B" w14:textId="77777777" w:rsidR="00AC2D21" w:rsidRPr="00AC2D21" w:rsidRDefault="00AC2D21" w:rsidP="00AC2D21">
      <w:pPr>
        <w:spacing w:line="480" w:lineRule="auto"/>
        <w:ind w:right="720"/>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24,700</w:t>
      </w:r>
    </w:p>
    <w:p w14:paraId="0986BA15" w14:textId="77777777" w:rsidR="00AC2D21" w:rsidRPr="00AC2D21" w:rsidRDefault="00AC2D21" w:rsidP="00AC2D21">
      <w:pPr>
        <w:spacing w:before="240" w:line="480" w:lineRule="auto"/>
        <w:jc w:val="both"/>
        <w:rPr>
          <w:rFonts w:ascii="Helvetica" w:eastAsia="Times New Roman" w:hAnsi="Helvetica" w:cs="Arial"/>
          <w:b/>
          <w:bCs/>
          <w:i/>
          <w:iCs/>
          <w:color w:val="000000"/>
          <w:sz w:val="22"/>
          <w:szCs w:val="22"/>
          <w:lang w:eastAsia="es-MX"/>
        </w:rPr>
      </w:pPr>
      <w:r w:rsidRPr="00AC2D21">
        <w:rPr>
          <w:rFonts w:ascii="Helvetica" w:eastAsia="Times New Roman" w:hAnsi="Helvetica" w:cs="Arial"/>
          <w:b/>
          <w:bCs/>
          <w:i/>
          <w:iCs/>
          <w:color w:val="000000"/>
          <w:sz w:val="22"/>
          <w:szCs w:val="22"/>
          <w:lang w:eastAsia="es-MX"/>
        </w:rPr>
        <w:t>Pagos a proveedores</w:t>
      </w:r>
    </w:p>
    <w:p w14:paraId="109D5C59" w14:textId="77777777" w:rsidR="00AC2D21" w:rsidRPr="00AC2D21" w:rsidRDefault="00AC2D21" w:rsidP="00AC2D21">
      <w:pPr>
        <w:spacing w:line="480" w:lineRule="auto"/>
        <w:ind w:right="720"/>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-$26,440</w:t>
      </w:r>
    </w:p>
    <w:p w14:paraId="7FEC75F4" w14:textId="77777777" w:rsidR="00AC2D21" w:rsidRPr="00AC2D21" w:rsidRDefault="00AC2D21" w:rsidP="00AC2D21">
      <w:pPr>
        <w:spacing w:before="240" w:line="480" w:lineRule="auto"/>
        <w:ind w:left="1200"/>
        <w:jc w:val="both"/>
        <w:rPr>
          <w:rFonts w:ascii="Helvetica" w:eastAsia="Times New Roman" w:hAnsi="Helvetica" w:cs="Arial"/>
          <w:color w:val="000000"/>
          <w:sz w:val="22"/>
          <w:szCs w:val="22"/>
          <w:lang w:eastAsia="es-MX"/>
        </w:rPr>
      </w:pPr>
      <w:r w:rsidRPr="00AC2D21">
        <w:rPr>
          <w:rFonts w:ascii="Helvetica" w:eastAsia="Times New Roman" w:hAnsi="Helvetica" w:cs="Arial"/>
          <w:b/>
          <w:bCs/>
          <w:color w:val="000000"/>
          <w:sz w:val="22"/>
          <w:szCs w:val="22"/>
          <w:lang w:eastAsia="es-MX"/>
        </w:rPr>
        <w:t>NOTA:</w:t>
      </w:r>
      <w:r w:rsidRPr="00AC2D21">
        <w:rPr>
          <w:rFonts w:ascii="Helvetica" w:eastAsia="Times New Roman" w:hAnsi="Helvetica" w:cs="Arial"/>
          <w:color w:val="000000"/>
          <w:sz w:val="22"/>
          <w:szCs w:val="22"/>
          <w:lang w:eastAsia="es-MX"/>
        </w:rPr>
        <w:t> El flujo de efectivo derivado del pago a proveedores debe incluir el Impuesto al Valor Agregado (IVA).</w:t>
      </w:r>
    </w:p>
    <w:p w14:paraId="2D76179D" w14:textId="77777777" w:rsidR="00AC2D21" w:rsidRPr="00AC2D21" w:rsidRDefault="00AC2D21" w:rsidP="00AC2D21">
      <w:pPr>
        <w:spacing w:before="240" w:line="480" w:lineRule="auto"/>
        <w:ind w:left="120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Partidas asociadas con actividades de inversión</w:t>
      </w:r>
    </w:p>
    <w:p w14:paraId="2674B32F"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3</w:t>
      </w:r>
      <w:r w:rsidRPr="00AC2D21">
        <w:rPr>
          <w:rFonts w:ascii="Helvetica" w:eastAsia="Times New Roman" w:hAnsi="Helvetica" w:cs="Arial"/>
          <w:b/>
          <w:bCs/>
          <w:color w:val="000000"/>
          <w:sz w:val="22"/>
          <w:szCs w:val="22"/>
          <w:lang w:eastAsia="es-MX"/>
        </w:rPr>
        <w:t>.</w:t>
      </w:r>
    </w:p>
    <w:p w14:paraId="660AE10C"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Depreciación del periodo</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reclasifica la depreciación del periodo de $450 reconocida previamente en el estado de resultado integral del periodo; dicha reclasificación se hace contra el movimiento de la depreciación acumulada.</w:t>
      </w:r>
    </w:p>
    <w:p w14:paraId="4A68746E"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4</w:t>
      </w:r>
      <w:r w:rsidRPr="00AC2D21">
        <w:rPr>
          <w:rFonts w:ascii="Helvetica" w:eastAsia="Times New Roman" w:hAnsi="Helvetica" w:cs="Arial"/>
          <w:b/>
          <w:bCs/>
          <w:color w:val="000000"/>
          <w:sz w:val="22"/>
          <w:szCs w:val="22"/>
          <w:lang w:eastAsia="es-MX"/>
        </w:rPr>
        <w:t>.</w:t>
      </w:r>
    </w:p>
    <w:p w14:paraId="24478F75"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Venta de propiedades, planta y equipo</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xml:space="preserve"> La utilidad por la venta del activo fijo por $10 se traspasa a las actividades de inversión y se suma al movimiento neto de $20 </w:t>
      </w:r>
      <w:r w:rsidRPr="00AC2D21">
        <w:rPr>
          <w:rFonts w:ascii="Helvetica" w:eastAsia="Times New Roman" w:hAnsi="Helvetica" w:cs="Arial"/>
          <w:color w:val="000000"/>
          <w:sz w:val="22"/>
          <w:szCs w:val="22"/>
          <w:lang w:eastAsia="es-MX"/>
        </w:rPr>
        <w:lastRenderedPageBreak/>
        <w:t>observado en el valor neto en libros del activo fijo ($80 de costo de adquisición y $60 de depreciación acumulada). De esta forma, dentro del estado de flujos de efectivo, se presentarán $30 como el importe total cobrado en efectivo por dicha venta.</w:t>
      </w:r>
    </w:p>
    <w:p w14:paraId="685739C4"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5</w:t>
      </w:r>
      <w:r w:rsidRPr="00AC2D21">
        <w:rPr>
          <w:rFonts w:ascii="Helvetica" w:eastAsia="Times New Roman" w:hAnsi="Helvetica" w:cs="Arial"/>
          <w:b/>
          <w:bCs/>
          <w:color w:val="000000"/>
          <w:sz w:val="22"/>
          <w:szCs w:val="22"/>
          <w:lang w:eastAsia="es-MX"/>
        </w:rPr>
        <w:t>.</w:t>
      </w:r>
    </w:p>
    <w:p w14:paraId="7550123B"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Intereses a favor</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traspasan $50 de intereses devengados a favor a los instrumentos financieros disponibles para la venta debido a que este concepto fue el que los generó. Por provenir de este tipo de instrumentos, se agrupan en actividades de inversión.</w:t>
      </w:r>
    </w:p>
    <w:p w14:paraId="1BD84F35"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6</w:t>
      </w:r>
      <w:r w:rsidRPr="00AC2D21">
        <w:rPr>
          <w:rFonts w:ascii="Helvetica" w:eastAsia="Times New Roman" w:hAnsi="Helvetica" w:cs="Arial"/>
          <w:b/>
          <w:bCs/>
          <w:color w:val="000000"/>
          <w:sz w:val="22"/>
          <w:szCs w:val="22"/>
          <w:lang w:eastAsia="es-MX"/>
        </w:rPr>
        <w:t>.</w:t>
      </w:r>
    </w:p>
    <w:p w14:paraId="54635BC6"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Dividendos cobrados</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Los dividendos cobrados por $100 se traspasan al concepto que los generó y finalmente se presentarán en actividades de inversión.</w:t>
      </w:r>
    </w:p>
    <w:p w14:paraId="02C4ABA0" w14:textId="77777777" w:rsidR="00AC2D21" w:rsidRPr="00AC2D21" w:rsidRDefault="00AC2D21" w:rsidP="00AC2D21">
      <w:pPr>
        <w:spacing w:before="240" w:line="480" w:lineRule="auto"/>
        <w:ind w:left="72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Partidas asociadas con actividades de financiamiento</w:t>
      </w:r>
    </w:p>
    <w:p w14:paraId="4DF8D3CB"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7</w:t>
      </w:r>
      <w:r w:rsidRPr="00AC2D21">
        <w:rPr>
          <w:rFonts w:ascii="Helvetica" w:eastAsia="Times New Roman" w:hAnsi="Helvetica" w:cs="Arial"/>
          <w:b/>
          <w:bCs/>
          <w:color w:val="000000"/>
          <w:sz w:val="22"/>
          <w:szCs w:val="22"/>
          <w:lang w:eastAsia="es-MX"/>
        </w:rPr>
        <w:t>.</w:t>
      </w:r>
    </w:p>
    <w:p w14:paraId="5DE1F534"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Intereses a cargo</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traspasa el importe devengado en el periodo al saldo de intereses por pagar; el movimiento de este renglón se presentará en actividades de financiamiento. Después de este traspaso, el movimiento en dicho concepto es de $270 mismo que, según los supuestos planteados, corresponden a un pago por $170 de los intereses devengados y pagados en este periodo, más $100 de intereses devengados en el periodo anterior y también pagados en este periodo.</w:t>
      </w:r>
    </w:p>
    <w:p w14:paraId="4088B04B" w14:textId="77777777" w:rsidR="00AC2D21" w:rsidRPr="00AC2D21" w:rsidRDefault="00AC2D21" w:rsidP="00AC2D21">
      <w:pPr>
        <w:spacing w:before="240" w:line="480" w:lineRule="auto"/>
        <w:ind w:left="720"/>
        <w:jc w:val="both"/>
        <w:rPr>
          <w:rFonts w:ascii="Helvetica" w:eastAsia="Times New Roman" w:hAnsi="Helvetica" w:cs="Arial"/>
          <w:i/>
          <w:iCs/>
          <w:color w:val="000000"/>
          <w:sz w:val="22"/>
          <w:szCs w:val="22"/>
          <w:lang w:eastAsia="es-MX"/>
        </w:rPr>
      </w:pPr>
      <w:r w:rsidRPr="00AC2D21">
        <w:rPr>
          <w:rFonts w:ascii="Helvetica" w:eastAsia="Times New Roman" w:hAnsi="Helvetica" w:cs="Arial"/>
          <w:i/>
          <w:iCs/>
          <w:color w:val="000000"/>
          <w:sz w:val="22"/>
          <w:szCs w:val="22"/>
          <w:lang w:eastAsia="es-MX"/>
        </w:rPr>
        <w:t>Impuestos a la utilidad</w:t>
      </w:r>
    </w:p>
    <w:p w14:paraId="56E0165F"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8</w:t>
      </w:r>
      <w:r w:rsidRPr="00AC2D21">
        <w:rPr>
          <w:rFonts w:ascii="Helvetica" w:eastAsia="Times New Roman" w:hAnsi="Helvetica" w:cs="Arial"/>
          <w:b/>
          <w:bCs/>
          <w:color w:val="000000"/>
          <w:sz w:val="22"/>
          <w:szCs w:val="22"/>
          <w:lang w:eastAsia="es-MX"/>
        </w:rPr>
        <w:t>.</w:t>
      </w:r>
    </w:p>
    <w:p w14:paraId="6DC70E47"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lastRenderedPageBreak/>
        <w:t>Impuestos a la utilidad</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Los impuestos a la utilidad devengados en el periodo se traspasaron al saldo de impuestos por pagar. Después de este traspaso, el movimiento en esta cuenta es de $900, mismo que corresponde al pago del impuesto incluido en saldos iniciales, efectuado en el periodo.</w:t>
      </w:r>
    </w:p>
    <w:p w14:paraId="087BBCD9" w14:textId="77777777" w:rsidR="00AC2D21" w:rsidRPr="00AC2D21" w:rsidRDefault="00AC2D21" w:rsidP="00AC2D21">
      <w:pPr>
        <w:spacing w:before="240" w:line="480" w:lineRule="auto"/>
        <w:ind w:left="72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Determinación de las actividades de inversión</w:t>
      </w:r>
    </w:p>
    <w:p w14:paraId="0E087879"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9</w:t>
      </w:r>
      <w:r w:rsidRPr="00AC2D21">
        <w:rPr>
          <w:rFonts w:ascii="Helvetica" w:eastAsia="Times New Roman" w:hAnsi="Helvetica" w:cs="Arial"/>
          <w:b/>
          <w:bCs/>
          <w:color w:val="000000"/>
          <w:sz w:val="22"/>
          <w:szCs w:val="22"/>
          <w:lang w:eastAsia="es-MX"/>
        </w:rPr>
        <w:t>.</w:t>
      </w:r>
    </w:p>
    <w:p w14:paraId="760270CD"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Adquisición de un negocio</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agrupa en un solo renglón el importe de los activos netos adquiridos incluyendo el crédito mercantil; el importe total de la adquisición es de $690, pero se presenta neto del saldo de efectivo de $40 perteneciente a la entidad adquirida. Esta agrupación se hace con la intención de mostrar en una sola línea, dentro del estado de flujos de efectivo, la adquisición del negocio, y no presentar las adquisiciones de activos y pasivos en lo individual.</w:t>
      </w:r>
    </w:p>
    <w:p w14:paraId="56AE672D"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10</w:t>
      </w:r>
      <w:r w:rsidRPr="00AC2D21">
        <w:rPr>
          <w:rFonts w:ascii="Helvetica" w:eastAsia="Times New Roman" w:hAnsi="Helvetica" w:cs="Arial"/>
          <w:b/>
          <w:bCs/>
          <w:color w:val="000000"/>
          <w:sz w:val="22"/>
          <w:szCs w:val="22"/>
          <w:lang w:eastAsia="es-MX"/>
        </w:rPr>
        <w:t>.</w:t>
      </w:r>
    </w:p>
    <w:p w14:paraId="7BB9092D"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Compra de propiedades, planta y equipo</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El movimiento de la compra por $1,250 se separa en lo que corresponde al pago en efectivo y a la contratación de un arrendamiento financiero.</w:t>
      </w:r>
    </w:p>
    <w:p w14:paraId="04A20FC4" w14:textId="77777777" w:rsidR="00AC2D21" w:rsidRPr="00AC2D21" w:rsidRDefault="00AC2D21" w:rsidP="00AC2D21">
      <w:pPr>
        <w:spacing w:before="240" w:line="480" w:lineRule="auto"/>
        <w:ind w:left="72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Determinación de las actividades de financiamiento</w:t>
      </w:r>
    </w:p>
    <w:p w14:paraId="584394F7"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11</w:t>
      </w:r>
      <w:r w:rsidRPr="00AC2D21">
        <w:rPr>
          <w:rFonts w:ascii="Helvetica" w:eastAsia="Times New Roman" w:hAnsi="Helvetica" w:cs="Arial"/>
          <w:b/>
          <w:bCs/>
          <w:color w:val="000000"/>
          <w:sz w:val="22"/>
          <w:szCs w:val="22"/>
          <w:lang w:eastAsia="es-MX"/>
        </w:rPr>
        <w:t>.</w:t>
      </w:r>
    </w:p>
    <w:p w14:paraId="33B69B80"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Dividendos pagados</w:t>
      </w:r>
      <w:r w:rsidRPr="00AC2D21">
        <w:rPr>
          <w:rFonts w:ascii="Helvetica" w:eastAsia="Times New Roman" w:hAnsi="Helvetica" w:cs="Arial"/>
          <w:color w:val="000000"/>
          <w:sz w:val="22"/>
          <w:szCs w:val="22"/>
          <w:lang w:eastAsia="es-MX"/>
        </w:rPr>
        <w:t>. Se segrega el monto pagado en efectivo por concepto de dividendos.</w:t>
      </w:r>
    </w:p>
    <w:p w14:paraId="7F785A2F"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12</w:t>
      </w:r>
      <w:r w:rsidRPr="00AC2D21">
        <w:rPr>
          <w:rFonts w:ascii="Helvetica" w:eastAsia="Times New Roman" w:hAnsi="Helvetica" w:cs="Arial"/>
          <w:b/>
          <w:bCs/>
          <w:color w:val="000000"/>
          <w:sz w:val="22"/>
          <w:szCs w:val="22"/>
          <w:lang w:eastAsia="es-MX"/>
        </w:rPr>
        <w:t>.</w:t>
      </w:r>
    </w:p>
    <w:p w14:paraId="4728B15D"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lastRenderedPageBreak/>
        <w:t>Emisión de capital</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segrega el efectivo recibido por la emisión de acciones que se colocaron.</w:t>
      </w:r>
    </w:p>
    <w:p w14:paraId="7F291306" w14:textId="77777777" w:rsidR="00AC2D21" w:rsidRPr="00AC2D21" w:rsidRDefault="00AC2D21" w:rsidP="00AC2D21">
      <w:pPr>
        <w:spacing w:before="240" w:line="480" w:lineRule="auto"/>
        <w:jc w:val="center"/>
        <w:rPr>
          <w:rFonts w:ascii="Helvetica" w:eastAsia="Times New Roman" w:hAnsi="Helvetica" w:cs="Arial"/>
          <w:b/>
          <w:bCs/>
          <w:color w:val="000000"/>
          <w:sz w:val="22"/>
          <w:szCs w:val="22"/>
          <w:lang w:eastAsia="es-MX"/>
        </w:rPr>
      </w:pPr>
      <w:hyperlink r:id="rId32" w:anchor="iQ_31" w:history="1">
        <w:r w:rsidRPr="00AC2D21">
          <w:rPr>
            <w:rFonts w:ascii="Helvetica" w:eastAsia="Times New Roman" w:hAnsi="Helvetica" w:cs="Arial"/>
            <w:b/>
            <w:bCs/>
            <w:color w:val="000000"/>
            <w:sz w:val="22"/>
            <w:szCs w:val="22"/>
            <w:u w:val="single"/>
            <w:lang w:eastAsia="es-MX"/>
          </w:rPr>
          <w:t>Método directo</w:t>
        </w:r>
      </w:hyperlink>
    </w:p>
    <w:p w14:paraId="65CBD001" w14:textId="77777777" w:rsidR="00AC2D21" w:rsidRPr="00AC2D21" w:rsidRDefault="00AC2D21" w:rsidP="00AC2D21">
      <w:pPr>
        <w:spacing w:before="240" w:line="480" w:lineRule="auto"/>
        <w:jc w:val="center"/>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La Comercial, S.A. de C. V. </w:t>
      </w:r>
      <w:r w:rsidRPr="00AC2D21">
        <w:rPr>
          <w:rFonts w:ascii="Helvetica" w:eastAsia="Times New Roman" w:hAnsi="Helvetica" w:cs="Arial"/>
          <w:b/>
          <w:bCs/>
          <w:color w:val="000000"/>
          <w:sz w:val="22"/>
          <w:szCs w:val="22"/>
          <w:lang w:eastAsia="es-MX"/>
        </w:rPr>
        <w:br/>
        <w:t>Estado de flujos de efectivo del 1o. de enero al 31 de diciembre de X2.</w:t>
      </w:r>
    </w:p>
    <w:p w14:paraId="56F795E5" w14:textId="77777777" w:rsidR="00AC2D21" w:rsidRPr="00AC2D21" w:rsidRDefault="00AC2D21" w:rsidP="00AC2D21">
      <w:pPr>
        <w:pBdr>
          <w:bottom w:val="single" w:sz="6" w:space="0" w:color="000000"/>
        </w:pBdr>
        <w:spacing w:before="240" w:line="480" w:lineRule="auto"/>
        <w:ind w:right="192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Actividades de operación</w:t>
      </w:r>
    </w:p>
    <w:p w14:paraId="733E62BB"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Cobros a clientes</w:t>
      </w:r>
    </w:p>
    <w:p w14:paraId="3B5E9965"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$30,110</w:t>
      </w:r>
    </w:p>
    <w:p w14:paraId="372F7C1A"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Pagos a proveedores</w:t>
      </w:r>
    </w:p>
    <w:p w14:paraId="33B8C511"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26,440</w:t>
      </w:r>
    </w:p>
    <w:p w14:paraId="526CEBED"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Pagos a empleados y otros proveedores de bienes y servicios</w:t>
      </w:r>
    </w:p>
    <w:p w14:paraId="37A3B944"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820</w:t>
      </w:r>
    </w:p>
    <w:p w14:paraId="1F073B33"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Pago por impuestos a la utilidad</w:t>
      </w:r>
    </w:p>
    <w:p w14:paraId="7376D0AB"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900</w:t>
      </w:r>
    </w:p>
    <w:p w14:paraId="3030125A" w14:textId="77777777" w:rsidR="00AC2D21" w:rsidRPr="00AC2D21" w:rsidRDefault="00AC2D21" w:rsidP="00AC2D21">
      <w:pPr>
        <w:spacing w:before="240" w:line="480" w:lineRule="auto"/>
        <w:jc w:val="both"/>
        <w:rPr>
          <w:rFonts w:ascii="Helvetica" w:eastAsia="Times New Roman" w:hAnsi="Helvetica" w:cs="Arial"/>
          <w:b/>
          <w:bCs/>
          <w:i/>
          <w:iCs/>
          <w:color w:val="000000"/>
          <w:sz w:val="22"/>
          <w:szCs w:val="22"/>
          <w:lang w:eastAsia="es-MX"/>
        </w:rPr>
      </w:pPr>
      <w:r w:rsidRPr="00AC2D21">
        <w:rPr>
          <w:rFonts w:ascii="Helvetica" w:eastAsia="Times New Roman" w:hAnsi="Helvetica" w:cs="Arial"/>
          <w:b/>
          <w:bCs/>
          <w:i/>
          <w:iCs/>
          <w:color w:val="000000"/>
          <w:sz w:val="22"/>
          <w:szCs w:val="22"/>
          <w:lang w:eastAsia="es-MX"/>
        </w:rPr>
        <w:t>Flujos netos de efectivo de actividades de operación</w:t>
      </w:r>
    </w:p>
    <w:p w14:paraId="3F3CE5A1"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bdr w:val="single" w:sz="6" w:space="0" w:color="000000" w:frame="1"/>
          <w:lang w:eastAsia="es-MX"/>
        </w:rPr>
        <w:t>1,950</w:t>
      </w:r>
    </w:p>
    <w:p w14:paraId="1E4230A6" w14:textId="77777777" w:rsidR="00AC2D21" w:rsidRPr="00AC2D21" w:rsidRDefault="00AC2D21" w:rsidP="00AC2D21">
      <w:pPr>
        <w:pBdr>
          <w:bottom w:val="single" w:sz="6" w:space="0" w:color="000000"/>
        </w:pBdr>
        <w:spacing w:before="576" w:line="480" w:lineRule="auto"/>
        <w:ind w:right="192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Actividades de inversión</w:t>
      </w:r>
    </w:p>
    <w:p w14:paraId="6C511E01"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Negocio adquirido</w:t>
      </w:r>
    </w:p>
    <w:p w14:paraId="7EF8F40F"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650</w:t>
      </w:r>
    </w:p>
    <w:p w14:paraId="2FB7F2A3"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lastRenderedPageBreak/>
        <w:t>Intereses cobrados</w:t>
      </w:r>
    </w:p>
    <w:p w14:paraId="3EE4358D"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50</w:t>
      </w:r>
    </w:p>
    <w:p w14:paraId="53E72FFF"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Dividendos cobrados</w:t>
      </w:r>
    </w:p>
    <w:p w14:paraId="6729384E"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100</w:t>
      </w:r>
    </w:p>
    <w:p w14:paraId="3361ED0A"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Adquisición de propiedades, planta y equipo</w:t>
      </w:r>
    </w:p>
    <w:p w14:paraId="4ECF7744"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350</w:t>
      </w:r>
    </w:p>
    <w:p w14:paraId="081F555B"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Cobros por venta de propiedades, planta y equipo</w:t>
      </w:r>
    </w:p>
    <w:p w14:paraId="351A3BE2"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30</w:t>
      </w:r>
    </w:p>
    <w:p w14:paraId="4A780CF1" w14:textId="77777777" w:rsidR="00AC2D21" w:rsidRPr="00AC2D21" w:rsidRDefault="00AC2D21" w:rsidP="00AC2D21">
      <w:pPr>
        <w:spacing w:before="240" w:line="480" w:lineRule="auto"/>
        <w:jc w:val="both"/>
        <w:rPr>
          <w:rFonts w:ascii="Helvetica" w:eastAsia="Times New Roman" w:hAnsi="Helvetica" w:cs="Arial"/>
          <w:b/>
          <w:bCs/>
          <w:i/>
          <w:iCs/>
          <w:color w:val="000000"/>
          <w:sz w:val="22"/>
          <w:szCs w:val="22"/>
          <w:lang w:eastAsia="es-MX"/>
        </w:rPr>
      </w:pPr>
      <w:r w:rsidRPr="00AC2D21">
        <w:rPr>
          <w:rFonts w:ascii="Helvetica" w:eastAsia="Times New Roman" w:hAnsi="Helvetica" w:cs="Arial"/>
          <w:b/>
          <w:bCs/>
          <w:i/>
          <w:iCs/>
          <w:color w:val="000000"/>
          <w:sz w:val="22"/>
          <w:szCs w:val="22"/>
          <w:lang w:eastAsia="es-MX"/>
        </w:rPr>
        <w:t>Flujos netos de efectivo de actividades de inversión</w:t>
      </w:r>
    </w:p>
    <w:p w14:paraId="7A954A18"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bdr w:val="single" w:sz="6" w:space="0" w:color="000000" w:frame="1"/>
          <w:lang w:eastAsia="es-MX"/>
        </w:rPr>
        <w:t>– 820</w:t>
      </w:r>
    </w:p>
    <w:p w14:paraId="4C488509" w14:textId="77777777" w:rsidR="00AC2D21" w:rsidRPr="00AC2D21" w:rsidRDefault="00AC2D21" w:rsidP="00AC2D21">
      <w:pPr>
        <w:spacing w:before="192" w:line="480" w:lineRule="auto"/>
        <w:jc w:val="both"/>
        <w:rPr>
          <w:rFonts w:ascii="Helvetica" w:eastAsia="Times New Roman" w:hAnsi="Helvetica" w:cs="Arial"/>
          <w:b/>
          <w:bCs/>
          <w:i/>
          <w:iCs/>
          <w:color w:val="000000"/>
          <w:sz w:val="22"/>
          <w:szCs w:val="22"/>
          <w:lang w:eastAsia="es-MX"/>
        </w:rPr>
      </w:pPr>
      <w:r w:rsidRPr="00AC2D21">
        <w:rPr>
          <w:rFonts w:ascii="Helvetica" w:eastAsia="Times New Roman" w:hAnsi="Helvetica" w:cs="Arial"/>
          <w:b/>
          <w:bCs/>
          <w:i/>
          <w:iCs/>
          <w:color w:val="000000"/>
          <w:sz w:val="22"/>
          <w:szCs w:val="22"/>
          <w:lang w:eastAsia="es-MX"/>
        </w:rPr>
        <w:t>Efectivo excedente para aplicar en actividades de financiamiento</w:t>
      </w:r>
    </w:p>
    <w:p w14:paraId="1524901A"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1,130</w:t>
      </w:r>
    </w:p>
    <w:p w14:paraId="36B8E327" w14:textId="77777777" w:rsidR="00AC2D21" w:rsidRPr="00AC2D21" w:rsidRDefault="00AC2D21" w:rsidP="00AC2D21">
      <w:pPr>
        <w:pBdr>
          <w:bottom w:val="single" w:sz="6" w:space="0" w:color="000000"/>
        </w:pBdr>
        <w:spacing w:before="576" w:line="480" w:lineRule="auto"/>
        <w:ind w:right="192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Actividades de financiamiento</w:t>
      </w:r>
    </w:p>
    <w:p w14:paraId="6DEF215D"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Entrada de efectivo por emisión de capital</w:t>
      </w:r>
    </w:p>
    <w:p w14:paraId="09DFD098"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250</w:t>
      </w:r>
    </w:p>
    <w:p w14:paraId="6A520898"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Obtención de préstamos a largo plazo</w:t>
      </w:r>
    </w:p>
    <w:p w14:paraId="6820A3F4"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250</w:t>
      </w:r>
    </w:p>
    <w:p w14:paraId="473EC7B1"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Pago de pasivos derivados de arrendamientos financieros</w:t>
      </w:r>
    </w:p>
    <w:p w14:paraId="4E7FBB66"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90</w:t>
      </w:r>
    </w:p>
    <w:p w14:paraId="154519B0"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lastRenderedPageBreak/>
        <w:t>Intereses pagados</w:t>
      </w:r>
    </w:p>
    <w:p w14:paraId="16F7426B"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270</w:t>
      </w:r>
    </w:p>
    <w:p w14:paraId="26BBAF4E"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Dividendos pagados</w:t>
      </w:r>
    </w:p>
    <w:p w14:paraId="0941122A"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1,200</w:t>
      </w:r>
    </w:p>
    <w:p w14:paraId="20628C08" w14:textId="77777777" w:rsidR="00AC2D21" w:rsidRPr="00AC2D21" w:rsidRDefault="00AC2D21" w:rsidP="00AC2D21">
      <w:pPr>
        <w:spacing w:before="240" w:line="480" w:lineRule="auto"/>
        <w:jc w:val="both"/>
        <w:rPr>
          <w:rFonts w:ascii="Helvetica" w:eastAsia="Times New Roman" w:hAnsi="Helvetica" w:cs="Arial"/>
          <w:b/>
          <w:bCs/>
          <w:i/>
          <w:iCs/>
          <w:color w:val="000000"/>
          <w:sz w:val="22"/>
          <w:szCs w:val="22"/>
          <w:lang w:eastAsia="es-MX"/>
        </w:rPr>
      </w:pPr>
      <w:r w:rsidRPr="00AC2D21">
        <w:rPr>
          <w:rFonts w:ascii="Helvetica" w:eastAsia="Times New Roman" w:hAnsi="Helvetica" w:cs="Arial"/>
          <w:b/>
          <w:bCs/>
          <w:i/>
          <w:iCs/>
          <w:color w:val="000000"/>
          <w:sz w:val="22"/>
          <w:szCs w:val="22"/>
          <w:lang w:eastAsia="es-MX"/>
        </w:rPr>
        <w:t>Flujos netos de efectivo de actividades de financiamiento</w:t>
      </w:r>
    </w:p>
    <w:p w14:paraId="7FA2E046"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bdr w:val="single" w:sz="6" w:space="0" w:color="000000" w:frame="1"/>
          <w:lang w:eastAsia="es-MX"/>
        </w:rPr>
        <w:t>– 1,060</w:t>
      </w:r>
    </w:p>
    <w:p w14:paraId="2682E7AD" w14:textId="77777777" w:rsidR="00AC2D21" w:rsidRPr="00AC2D21" w:rsidRDefault="00AC2D21" w:rsidP="00AC2D21">
      <w:pPr>
        <w:spacing w:before="576" w:line="480" w:lineRule="auto"/>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Incremento neto de efectivo y equivalentes de efectivo</w:t>
      </w:r>
    </w:p>
    <w:p w14:paraId="06FE9046"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70</w:t>
      </w:r>
    </w:p>
    <w:p w14:paraId="6EF17849" w14:textId="77777777" w:rsidR="00AC2D21" w:rsidRPr="00AC2D21" w:rsidRDefault="00AC2D21" w:rsidP="00AC2D21">
      <w:pPr>
        <w:spacing w:before="576" w:line="480" w:lineRule="auto"/>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Efectivo y equivalentes de efectivo al principio del periodo</w:t>
      </w:r>
    </w:p>
    <w:p w14:paraId="40A084D3"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160</w:t>
      </w:r>
    </w:p>
    <w:p w14:paraId="691479AD" w14:textId="77777777" w:rsidR="00AC2D21" w:rsidRPr="00AC2D21" w:rsidRDefault="00AC2D21" w:rsidP="00AC2D21">
      <w:pPr>
        <w:spacing w:before="576" w:line="480" w:lineRule="auto"/>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Efectivo y equivalentes de efectivo al final del periodo</w:t>
      </w:r>
    </w:p>
    <w:p w14:paraId="518CD8AF"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$230</w:t>
      </w:r>
    </w:p>
    <w:p w14:paraId="23618E90" w14:textId="35097BD7" w:rsidR="00AC2D21" w:rsidRPr="00AC2D21" w:rsidRDefault="00AC2D21" w:rsidP="00AC2D21">
      <w:pPr>
        <w:spacing w:before="240" w:line="480" w:lineRule="auto"/>
        <w:jc w:val="center"/>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lastRenderedPageBreak/>
        <w:fldChar w:fldCharType="begin"/>
      </w:r>
      <w:r w:rsidRPr="00AC2D21">
        <w:rPr>
          <w:rFonts w:ascii="Helvetica" w:eastAsia="Times New Roman" w:hAnsi="Helvetica" w:cs="Arial"/>
          <w:color w:val="000000"/>
          <w:sz w:val="22"/>
          <w:szCs w:val="22"/>
          <w:lang w:eastAsia="es-MX"/>
        </w:rPr>
        <w:instrText xml:space="preserve"> INCLUDEPICTURE "/var/folders/m8/21blh1bs78ldl91nl112f5_40000gn/T/com.microsoft.Word/WebArchiveCopyPasteTempFiles/pg207_001.jpg" \* MERGEFORMATINET </w:instrText>
      </w:r>
      <w:r w:rsidRPr="00AC2D21">
        <w:rPr>
          <w:rFonts w:ascii="Helvetica" w:eastAsia="Times New Roman" w:hAnsi="Helvetica" w:cs="Arial"/>
          <w:color w:val="000000"/>
          <w:sz w:val="22"/>
          <w:szCs w:val="22"/>
          <w:lang w:eastAsia="es-MX"/>
        </w:rPr>
        <w:fldChar w:fldCharType="separate"/>
      </w:r>
      <w:r w:rsidRPr="00AC2D21">
        <w:rPr>
          <w:rFonts w:ascii="Helvetica" w:eastAsia="Times New Roman" w:hAnsi="Helvetica" w:cs="Arial"/>
          <w:noProof/>
          <w:color w:val="000000"/>
          <w:sz w:val="22"/>
          <w:szCs w:val="22"/>
          <w:lang w:eastAsia="es-MX"/>
        </w:rPr>
        <w:drawing>
          <wp:inline distT="0" distB="0" distL="0" distR="0" wp14:anchorId="5ACA9767" wp14:editId="40DB383E">
            <wp:extent cx="5612130" cy="3671570"/>
            <wp:effectExtent l="0" t="0" r="1270" b="0"/>
            <wp:docPr id="1" name="Imagen 1" descr="pg2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207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2130" cy="3671570"/>
                    </a:xfrm>
                    <a:prstGeom prst="rect">
                      <a:avLst/>
                    </a:prstGeom>
                    <a:noFill/>
                    <a:ln>
                      <a:noFill/>
                    </a:ln>
                  </pic:spPr>
                </pic:pic>
              </a:graphicData>
            </a:graphic>
          </wp:inline>
        </w:drawing>
      </w:r>
      <w:r w:rsidRPr="00AC2D21">
        <w:rPr>
          <w:rFonts w:ascii="Helvetica" w:eastAsia="Times New Roman" w:hAnsi="Helvetica" w:cs="Arial"/>
          <w:color w:val="000000"/>
          <w:sz w:val="22"/>
          <w:szCs w:val="22"/>
          <w:lang w:eastAsia="es-MX"/>
        </w:rPr>
        <w:fldChar w:fldCharType="end"/>
      </w:r>
    </w:p>
    <w:p w14:paraId="70A6EDBF"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La descripción de las eliminaciones efectuadas en la hoja de trabajo para determinar el estado de flujos de efectivo con el método indirecto, es la siguiente:</w:t>
      </w:r>
    </w:p>
    <w:p w14:paraId="4EFBA482" w14:textId="77777777" w:rsidR="00AC2D21" w:rsidRPr="00AC2D21" w:rsidRDefault="00AC2D21" w:rsidP="00AC2D21">
      <w:pPr>
        <w:spacing w:before="240" w:line="480" w:lineRule="auto"/>
        <w:ind w:left="72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Determinación de las actividades de operación</w:t>
      </w:r>
    </w:p>
    <w:p w14:paraId="26E2ED43" w14:textId="77777777" w:rsidR="00AC2D21" w:rsidRPr="00AC2D21" w:rsidRDefault="00AC2D21" w:rsidP="00AC2D21">
      <w:pPr>
        <w:spacing w:before="240"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i/>
          <w:iCs/>
          <w:color w:val="000000"/>
          <w:sz w:val="22"/>
          <w:szCs w:val="22"/>
          <w:lang w:eastAsia="es-MX"/>
        </w:rPr>
        <w:t>Impuestos a la utilidad</w:t>
      </w:r>
    </w:p>
    <w:p w14:paraId="6AB4FB9A"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1</w:t>
      </w:r>
      <w:r w:rsidRPr="00AC2D21">
        <w:rPr>
          <w:rFonts w:ascii="Helvetica" w:eastAsia="Times New Roman" w:hAnsi="Helvetica" w:cs="Arial"/>
          <w:b/>
          <w:bCs/>
          <w:color w:val="000000"/>
          <w:sz w:val="22"/>
          <w:szCs w:val="22"/>
          <w:lang w:eastAsia="es-MX"/>
        </w:rPr>
        <w:t>.</w:t>
      </w:r>
    </w:p>
    <w:p w14:paraId="3C254219"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Impuestos a la utilidad</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ajustó la utilidad neta por el importe devengado en el periodo; dicho ajuste se hizo contra el saldo de impuestos por pagar. Después de este traspaso, el movimiento en esta cuenta es de $900, mismo que corresponde al pago del impuesto incluido en saldos iniciales, efectuado en el periodo.</w:t>
      </w:r>
    </w:p>
    <w:p w14:paraId="7C659C49" w14:textId="77777777" w:rsidR="00AC2D21" w:rsidRPr="00AC2D21" w:rsidRDefault="00AC2D21" w:rsidP="00AC2D21">
      <w:pPr>
        <w:spacing w:before="240"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i/>
          <w:iCs/>
          <w:color w:val="000000"/>
          <w:sz w:val="22"/>
          <w:szCs w:val="22"/>
          <w:lang w:eastAsia="es-MX"/>
        </w:rPr>
        <w:t>Partidas asociadas con actividades de inversión</w:t>
      </w:r>
    </w:p>
    <w:p w14:paraId="6129893D"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lastRenderedPageBreak/>
        <w:t>2</w:t>
      </w:r>
      <w:r w:rsidRPr="00AC2D21">
        <w:rPr>
          <w:rFonts w:ascii="Helvetica" w:eastAsia="Times New Roman" w:hAnsi="Helvetica" w:cs="Arial"/>
          <w:b/>
          <w:bCs/>
          <w:color w:val="000000"/>
          <w:sz w:val="22"/>
          <w:szCs w:val="22"/>
          <w:lang w:eastAsia="es-MX"/>
        </w:rPr>
        <w:t>.</w:t>
      </w:r>
    </w:p>
    <w:p w14:paraId="1182D895"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Depreciación del periodo</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reclasifica la depreciación del periodo de $450 reconocida previamente en el estado de resultado integral del periodo; dicha reclasificación se hace contra el movimiento de la depreciación acumulada.</w:t>
      </w:r>
    </w:p>
    <w:p w14:paraId="63BB836D"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3</w:t>
      </w:r>
      <w:r w:rsidRPr="00AC2D21">
        <w:rPr>
          <w:rFonts w:ascii="Helvetica" w:eastAsia="Times New Roman" w:hAnsi="Helvetica" w:cs="Arial"/>
          <w:b/>
          <w:bCs/>
          <w:color w:val="000000"/>
          <w:sz w:val="22"/>
          <w:szCs w:val="22"/>
          <w:lang w:eastAsia="es-MX"/>
        </w:rPr>
        <w:t>.</w:t>
      </w:r>
    </w:p>
    <w:p w14:paraId="2BADC863"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Venta de propiedades, planta y equipo</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La utilidad por la venta del activo fijo por $10 se traspasa a las actividades de inversión y se suma al movimiento neto de $20 observado en el valor neto en libros del activo fijo ($80 de costo de adquisición y $60 de depreciación acumulada). De esta forma, dentro del estado de flujos de efectivo, se presentarán $30 como el importe total cobrado en efectivo por dicha venta.</w:t>
      </w:r>
    </w:p>
    <w:p w14:paraId="44ED44FF"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4</w:t>
      </w:r>
      <w:r w:rsidRPr="00AC2D21">
        <w:rPr>
          <w:rFonts w:ascii="Helvetica" w:eastAsia="Times New Roman" w:hAnsi="Helvetica" w:cs="Arial"/>
          <w:b/>
          <w:bCs/>
          <w:color w:val="000000"/>
          <w:sz w:val="22"/>
          <w:szCs w:val="22"/>
          <w:lang w:eastAsia="es-MX"/>
        </w:rPr>
        <w:t>.</w:t>
      </w:r>
    </w:p>
    <w:p w14:paraId="5D7CCBF8"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Intereses a favor</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ajusta la utilidad por $50 de intereses devengados a favor. Este ajuste se hace contra los instrumentos financieros disponibles para la venta debido a que este concepto fue el que los generó. Por provenir de este tipo de instrumentos, se agrupan en actividades de inversión.</w:t>
      </w:r>
    </w:p>
    <w:p w14:paraId="17A9C110"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5</w:t>
      </w:r>
      <w:r w:rsidRPr="00AC2D21">
        <w:rPr>
          <w:rFonts w:ascii="Helvetica" w:eastAsia="Times New Roman" w:hAnsi="Helvetica" w:cs="Arial"/>
          <w:b/>
          <w:bCs/>
          <w:color w:val="000000"/>
          <w:sz w:val="22"/>
          <w:szCs w:val="22"/>
          <w:lang w:eastAsia="es-MX"/>
        </w:rPr>
        <w:t>.</w:t>
      </w:r>
    </w:p>
    <w:p w14:paraId="66603FBA"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Dividendos cobrados</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ajusta la utilidad neta por los dividendos cobrados, los cuales se presentarán en actividades de inversión.</w:t>
      </w:r>
    </w:p>
    <w:p w14:paraId="1579B643" w14:textId="77777777" w:rsidR="00AC2D21" w:rsidRPr="00AC2D21" w:rsidRDefault="00AC2D21" w:rsidP="00AC2D21">
      <w:pPr>
        <w:spacing w:before="240"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i/>
          <w:iCs/>
          <w:color w:val="000000"/>
          <w:sz w:val="22"/>
          <w:szCs w:val="22"/>
          <w:lang w:eastAsia="es-MX"/>
        </w:rPr>
        <w:t>Partidas asociadas con actividades de financiamiento</w:t>
      </w:r>
    </w:p>
    <w:p w14:paraId="7951ED32"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6</w:t>
      </w:r>
      <w:r w:rsidRPr="00AC2D21">
        <w:rPr>
          <w:rFonts w:ascii="Helvetica" w:eastAsia="Times New Roman" w:hAnsi="Helvetica" w:cs="Arial"/>
          <w:b/>
          <w:bCs/>
          <w:color w:val="000000"/>
          <w:sz w:val="22"/>
          <w:szCs w:val="22"/>
          <w:lang w:eastAsia="es-MX"/>
        </w:rPr>
        <w:t>.</w:t>
      </w:r>
    </w:p>
    <w:p w14:paraId="57059498"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lastRenderedPageBreak/>
        <w:t>Intereses a cargo</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traspasa el importe devengado en el periodo al saldo de intereses por pagar; el movimiento de este renglón se presentará en actividades de financiamiento. Después de este traspaso, el movimiento en dicho concepto es de $270 mismo que, según los supuestos planteados, corresponden a un pago por $170 de los intereses devengados y pagados en este periodo, más $100 de intereses devengados en el periodo anterior y también pagados en este periodo.</w:t>
      </w:r>
    </w:p>
    <w:p w14:paraId="0C2267C2" w14:textId="77777777" w:rsidR="00AC2D21" w:rsidRPr="00AC2D21" w:rsidRDefault="00AC2D21" w:rsidP="00AC2D21">
      <w:pPr>
        <w:spacing w:before="240" w:line="480" w:lineRule="auto"/>
        <w:ind w:left="72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Determinación de las actividades de inversión</w:t>
      </w:r>
    </w:p>
    <w:p w14:paraId="1EF33D78"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7</w:t>
      </w:r>
      <w:r w:rsidRPr="00AC2D21">
        <w:rPr>
          <w:rFonts w:ascii="Helvetica" w:eastAsia="Times New Roman" w:hAnsi="Helvetica" w:cs="Arial"/>
          <w:b/>
          <w:bCs/>
          <w:color w:val="000000"/>
          <w:sz w:val="22"/>
          <w:szCs w:val="22"/>
          <w:lang w:eastAsia="es-MX"/>
        </w:rPr>
        <w:t>.</w:t>
      </w:r>
    </w:p>
    <w:p w14:paraId="7489DCB6"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Adquisición de un negocio</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agrupa en un solo renglón el importe de los activos netos adquiridos incluyendo el crédito mercantil; el importe total de la adquisición es de $690, pero se presenta neto del saldo de efectivo de $40 perteneciente a la entidad adquirida. Esta agrupación se hace con la intención de mostrar en una sola línea, dentro del estado de flujos de efectivo, la adquisición del negocio, y no presentar las adquisiciones de activos y pasivos en lo individual.</w:t>
      </w:r>
    </w:p>
    <w:p w14:paraId="67E53431"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8</w:t>
      </w:r>
      <w:r w:rsidRPr="00AC2D21">
        <w:rPr>
          <w:rFonts w:ascii="Helvetica" w:eastAsia="Times New Roman" w:hAnsi="Helvetica" w:cs="Arial"/>
          <w:b/>
          <w:bCs/>
          <w:color w:val="000000"/>
          <w:sz w:val="22"/>
          <w:szCs w:val="22"/>
          <w:lang w:eastAsia="es-MX"/>
        </w:rPr>
        <w:t>.</w:t>
      </w:r>
    </w:p>
    <w:p w14:paraId="5F10223A"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Compra de propiedades, planta y equipo</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El movimiento de la compra por $1,250 se separa en lo que corresponde al pago en efectivo y a la contratación de un arrendamiento financiero.</w:t>
      </w:r>
    </w:p>
    <w:p w14:paraId="08FDF087" w14:textId="77777777" w:rsidR="00AC2D21" w:rsidRPr="00AC2D21" w:rsidRDefault="00AC2D21" w:rsidP="00AC2D21">
      <w:pPr>
        <w:spacing w:before="240" w:line="480" w:lineRule="auto"/>
        <w:ind w:left="72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Determinación de las actividades de financiamiento</w:t>
      </w:r>
    </w:p>
    <w:p w14:paraId="11011C46"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t>9</w:t>
      </w:r>
      <w:r w:rsidRPr="00AC2D21">
        <w:rPr>
          <w:rFonts w:ascii="Helvetica" w:eastAsia="Times New Roman" w:hAnsi="Helvetica" w:cs="Arial"/>
          <w:b/>
          <w:bCs/>
          <w:color w:val="000000"/>
          <w:sz w:val="22"/>
          <w:szCs w:val="22"/>
          <w:lang w:eastAsia="es-MX"/>
        </w:rPr>
        <w:t>.</w:t>
      </w:r>
    </w:p>
    <w:p w14:paraId="72A669DE"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Dividendos pagados</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segrega el monto pagado en efectivo por concepto de dividendos.</w:t>
      </w:r>
    </w:p>
    <w:p w14:paraId="75384B94" w14:textId="77777777" w:rsidR="00AC2D21" w:rsidRPr="00AC2D21" w:rsidRDefault="00AC2D21" w:rsidP="00AC2D21">
      <w:pPr>
        <w:spacing w:before="240" w:line="480" w:lineRule="auto"/>
        <w:ind w:left="24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i/>
          <w:iCs/>
          <w:color w:val="000000"/>
          <w:sz w:val="22"/>
          <w:szCs w:val="22"/>
          <w:lang w:eastAsia="es-MX"/>
        </w:rPr>
        <w:lastRenderedPageBreak/>
        <w:t>10</w:t>
      </w:r>
      <w:r w:rsidRPr="00AC2D21">
        <w:rPr>
          <w:rFonts w:ascii="Helvetica" w:eastAsia="Times New Roman" w:hAnsi="Helvetica" w:cs="Arial"/>
          <w:b/>
          <w:bCs/>
          <w:color w:val="000000"/>
          <w:sz w:val="22"/>
          <w:szCs w:val="22"/>
          <w:lang w:eastAsia="es-MX"/>
        </w:rPr>
        <w:t>.</w:t>
      </w:r>
    </w:p>
    <w:p w14:paraId="0BB85631" w14:textId="77777777" w:rsidR="00AC2D21" w:rsidRPr="00AC2D21" w:rsidRDefault="00AC2D21" w:rsidP="00AC2D21">
      <w:pPr>
        <w:spacing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b/>
          <w:bCs/>
          <w:i/>
          <w:iCs/>
          <w:color w:val="000000"/>
          <w:sz w:val="22"/>
          <w:szCs w:val="22"/>
          <w:lang w:eastAsia="es-MX"/>
        </w:rPr>
        <w:t>Emisión de capital</w:t>
      </w:r>
      <w:r w:rsidRPr="00AC2D21">
        <w:rPr>
          <w:rFonts w:ascii="Helvetica" w:eastAsia="Times New Roman" w:hAnsi="Helvetica" w:cs="Arial"/>
          <w:b/>
          <w:bCs/>
          <w:color w:val="000000"/>
          <w:sz w:val="22"/>
          <w:szCs w:val="22"/>
          <w:lang w:eastAsia="es-MX"/>
        </w:rPr>
        <w:t>.</w:t>
      </w:r>
      <w:r w:rsidRPr="00AC2D21">
        <w:rPr>
          <w:rFonts w:ascii="Helvetica" w:eastAsia="Times New Roman" w:hAnsi="Helvetica" w:cs="Arial"/>
          <w:color w:val="000000"/>
          <w:sz w:val="22"/>
          <w:szCs w:val="22"/>
          <w:lang w:eastAsia="es-MX"/>
        </w:rPr>
        <w:t> Se segrega el efectivo recibido por la emisión de acciones que se colocaron.</w:t>
      </w:r>
    </w:p>
    <w:p w14:paraId="39CF5F28" w14:textId="77777777" w:rsidR="00AC2D21" w:rsidRPr="00AC2D21" w:rsidRDefault="00AC2D21" w:rsidP="00AC2D21">
      <w:pPr>
        <w:spacing w:before="240" w:line="480" w:lineRule="auto"/>
        <w:jc w:val="center"/>
        <w:rPr>
          <w:rFonts w:ascii="Helvetica" w:eastAsia="Times New Roman" w:hAnsi="Helvetica" w:cs="Arial"/>
          <w:b/>
          <w:bCs/>
          <w:color w:val="000000"/>
          <w:sz w:val="22"/>
          <w:szCs w:val="22"/>
          <w:lang w:eastAsia="es-MX"/>
        </w:rPr>
      </w:pPr>
      <w:hyperlink r:id="rId34" w:anchor="iQ_32" w:history="1">
        <w:r w:rsidRPr="00AC2D21">
          <w:rPr>
            <w:rFonts w:ascii="Helvetica" w:eastAsia="Times New Roman" w:hAnsi="Helvetica" w:cs="Arial"/>
            <w:b/>
            <w:bCs/>
            <w:color w:val="000000"/>
            <w:sz w:val="22"/>
            <w:szCs w:val="22"/>
            <w:u w:val="single"/>
            <w:lang w:eastAsia="es-MX"/>
          </w:rPr>
          <w:t>Método indirecto</w:t>
        </w:r>
      </w:hyperlink>
    </w:p>
    <w:p w14:paraId="638254B3" w14:textId="77777777" w:rsidR="00AC2D21" w:rsidRPr="00AC2D21" w:rsidRDefault="00AC2D21" w:rsidP="00AC2D21">
      <w:pPr>
        <w:spacing w:before="240" w:line="480" w:lineRule="auto"/>
        <w:jc w:val="center"/>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La Comercial, S.A. de C. V. </w:t>
      </w:r>
      <w:r w:rsidRPr="00AC2D21">
        <w:rPr>
          <w:rFonts w:ascii="Helvetica" w:eastAsia="Times New Roman" w:hAnsi="Helvetica" w:cs="Arial"/>
          <w:b/>
          <w:bCs/>
          <w:color w:val="000000"/>
          <w:sz w:val="22"/>
          <w:szCs w:val="22"/>
          <w:lang w:eastAsia="es-MX"/>
        </w:rPr>
        <w:br/>
        <w:t>Estado de flujos de efectivo del 1o. de enero al 31 de diciembre de X2.</w:t>
      </w:r>
    </w:p>
    <w:p w14:paraId="19F848B2" w14:textId="77777777" w:rsidR="00AC2D21" w:rsidRPr="00AC2D21" w:rsidRDefault="00AC2D21" w:rsidP="00AC2D21">
      <w:pPr>
        <w:pBdr>
          <w:bottom w:val="single" w:sz="6" w:space="0" w:color="000000"/>
        </w:pBdr>
        <w:spacing w:before="240" w:line="480" w:lineRule="auto"/>
        <w:ind w:right="192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Actividades de operación</w:t>
      </w:r>
    </w:p>
    <w:p w14:paraId="65099D31" w14:textId="77777777" w:rsidR="00AC2D21" w:rsidRPr="00AC2D21" w:rsidRDefault="00AC2D21" w:rsidP="00AC2D21">
      <w:pPr>
        <w:spacing w:before="240" w:line="480" w:lineRule="auto"/>
        <w:ind w:right="1920"/>
        <w:jc w:val="both"/>
        <w:rPr>
          <w:rFonts w:ascii="Helvetica" w:eastAsia="Times New Roman" w:hAnsi="Helvetica" w:cs="Arial"/>
          <w:i/>
          <w:iCs/>
          <w:color w:val="000000"/>
          <w:sz w:val="22"/>
          <w:szCs w:val="22"/>
          <w:lang w:eastAsia="es-MX"/>
        </w:rPr>
      </w:pPr>
      <w:r w:rsidRPr="00AC2D21">
        <w:rPr>
          <w:rFonts w:ascii="Helvetica" w:eastAsia="Times New Roman" w:hAnsi="Helvetica" w:cs="Arial"/>
          <w:i/>
          <w:iCs/>
          <w:color w:val="000000"/>
          <w:sz w:val="22"/>
          <w:szCs w:val="22"/>
          <w:lang w:eastAsia="es-MX"/>
        </w:rPr>
        <w:t>Utilidad antes de impuestos a la utilidad</w:t>
      </w:r>
    </w:p>
    <w:p w14:paraId="3CE05A69"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$3,350</w:t>
      </w:r>
    </w:p>
    <w:p w14:paraId="05F9406B" w14:textId="77777777" w:rsidR="00AC2D21" w:rsidRPr="00AC2D21" w:rsidRDefault="00AC2D21" w:rsidP="00AC2D21">
      <w:pPr>
        <w:spacing w:before="240" w:line="480" w:lineRule="auto"/>
        <w:ind w:right="1920"/>
        <w:jc w:val="both"/>
        <w:rPr>
          <w:rFonts w:ascii="Helvetica" w:eastAsia="Times New Roman" w:hAnsi="Helvetica" w:cs="Arial"/>
          <w:i/>
          <w:iCs/>
          <w:color w:val="000000"/>
          <w:sz w:val="22"/>
          <w:szCs w:val="22"/>
          <w:lang w:eastAsia="es-MX"/>
        </w:rPr>
      </w:pPr>
      <w:r w:rsidRPr="00AC2D21">
        <w:rPr>
          <w:rFonts w:ascii="Helvetica" w:eastAsia="Times New Roman" w:hAnsi="Helvetica" w:cs="Arial"/>
          <w:i/>
          <w:iCs/>
          <w:color w:val="000000"/>
          <w:sz w:val="22"/>
          <w:szCs w:val="22"/>
          <w:lang w:eastAsia="es-MX"/>
        </w:rPr>
        <w:t>Partidas relacionadas con actividades de inversión</w:t>
      </w:r>
    </w:p>
    <w:p w14:paraId="46290D48" w14:textId="77777777" w:rsidR="00AC2D21" w:rsidRPr="00AC2D21" w:rsidRDefault="00AC2D21" w:rsidP="00AC2D21">
      <w:pPr>
        <w:spacing w:before="240" w:line="480" w:lineRule="auto"/>
        <w:ind w:left="72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Depreciación</w:t>
      </w:r>
    </w:p>
    <w:p w14:paraId="2FEF56C7"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450</w:t>
      </w:r>
    </w:p>
    <w:p w14:paraId="0BE0DF0C" w14:textId="77777777" w:rsidR="00AC2D21" w:rsidRPr="00AC2D21" w:rsidRDefault="00AC2D21" w:rsidP="00AC2D21">
      <w:pPr>
        <w:spacing w:before="240" w:line="480" w:lineRule="auto"/>
        <w:ind w:left="720" w:right="192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Utilidad por venta de propiedades, planta y equipo</w:t>
      </w:r>
    </w:p>
    <w:p w14:paraId="4CD97F2A"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10</w:t>
      </w:r>
    </w:p>
    <w:p w14:paraId="4EF043C0" w14:textId="77777777" w:rsidR="00AC2D21" w:rsidRPr="00AC2D21" w:rsidRDefault="00AC2D21" w:rsidP="00AC2D21">
      <w:pPr>
        <w:spacing w:before="240" w:line="480" w:lineRule="auto"/>
        <w:ind w:left="720" w:right="192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Intereses a favor</w:t>
      </w:r>
    </w:p>
    <w:p w14:paraId="72640041"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50</w:t>
      </w:r>
    </w:p>
    <w:p w14:paraId="016A9FD9" w14:textId="77777777" w:rsidR="00AC2D21" w:rsidRPr="00AC2D21" w:rsidRDefault="00AC2D21" w:rsidP="00AC2D21">
      <w:pPr>
        <w:spacing w:before="240" w:line="480" w:lineRule="auto"/>
        <w:ind w:left="720" w:right="192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Dividendos cobrados</w:t>
      </w:r>
    </w:p>
    <w:p w14:paraId="72830066"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100</w:t>
      </w:r>
    </w:p>
    <w:p w14:paraId="26B34E94" w14:textId="77777777" w:rsidR="00AC2D21" w:rsidRPr="00AC2D21" w:rsidRDefault="00AC2D21" w:rsidP="00AC2D21">
      <w:pPr>
        <w:spacing w:before="240" w:line="480" w:lineRule="auto"/>
        <w:ind w:right="1920"/>
        <w:jc w:val="both"/>
        <w:rPr>
          <w:rFonts w:ascii="Helvetica" w:eastAsia="Times New Roman" w:hAnsi="Helvetica" w:cs="Arial"/>
          <w:color w:val="000000"/>
          <w:sz w:val="22"/>
          <w:szCs w:val="22"/>
          <w:lang w:eastAsia="es-MX"/>
        </w:rPr>
      </w:pPr>
      <w:r w:rsidRPr="00AC2D21">
        <w:rPr>
          <w:rFonts w:ascii="Helvetica" w:eastAsia="Times New Roman" w:hAnsi="Helvetica" w:cs="Arial"/>
          <w:i/>
          <w:iCs/>
          <w:color w:val="000000"/>
          <w:sz w:val="22"/>
          <w:szCs w:val="22"/>
          <w:lang w:eastAsia="es-MX"/>
        </w:rPr>
        <w:t>Partidas relacionadas con actividades de financiamiento</w:t>
      </w:r>
    </w:p>
    <w:p w14:paraId="47DA5D01" w14:textId="77777777" w:rsidR="00AC2D21" w:rsidRPr="00AC2D21" w:rsidRDefault="00AC2D21" w:rsidP="00AC2D21">
      <w:pPr>
        <w:spacing w:before="240" w:line="480" w:lineRule="auto"/>
        <w:ind w:left="720" w:right="192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Intereses a cargo</w:t>
      </w:r>
    </w:p>
    <w:p w14:paraId="1F2ED604"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lastRenderedPageBreak/>
        <w:t>400</w:t>
      </w:r>
    </w:p>
    <w:p w14:paraId="62D52B72" w14:textId="77777777" w:rsidR="00AC2D21" w:rsidRPr="00AC2D21" w:rsidRDefault="00AC2D21" w:rsidP="00AC2D21">
      <w:pPr>
        <w:spacing w:line="480" w:lineRule="auto"/>
        <w:ind w:right="192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Suma</w:t>
      </w:r>
    </w:p>
    <w:p w14:paraId="26F0A602"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4,040</w:t>
      </w:r>
    </w:p>
    <w:p w14:paraId="791D5C49" w14:textId="77777777" w:rsidR="00AC2D21" w:rsidRPr="00AC2D21" w:rsidRDefault="00AC2D21" w:rsidP="00AC2D21">
      <w:pPr>
        <w:spacing w:before="288" w:line="480" w:lineRule="auto"/>
        <w:ind w:right="192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Incremento en cuentas por cobrar y otros</w:t>
      </w:r>
    </w:p>
    <w:p w14:paraId="766A5A3F"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500</w:t>
      </w:r>
    </w:p>
    <w:p w14:paraId="69151B4B"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Disminución en inventarios</w:t>
      </w:r>
    </w:p>
    <w:p w14:paraId="69C5088D"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1,050</w:t>
      </w:r>
    </w:p>
    <w:p w14:paraId="46E5F02D"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Disminución en proveedores</w:t>
      </w:r>
    </w:p>
    <w:p w14:paraId="7E3BB7D9"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1,740</w:t>
      </w:r>
    </w:p>
    <w:p w14:paraId="5409074D"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Impuestos a la utilidad pagados</w:t>
      </w:r>
    </w:p>
    <w:p w14:paraId="7969FE65"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900</w:t>
      </w:r>
    </w:p>
    <w:p w14:paraId="72515855" w14:textId="77777777" w:rsidR="00AC2D21" w:rsidRPr="00AC2D21" w:rsidRDefault="00AC2D21" w:rsidP="00AC2D21">
      <w:pPr>
        <w:spacing w:before="240" w:line="480" w:lineRule="auto"/>
        <w:ind w:right="1920"/>
        <w:jc w:val="both"/>
        <w:rPr>
          <w:rFonts w:ascii="Helvetica" w:eastAsia="Times New Roman" w:hAnsi="Helvetica" w:cs="Arial"/>
          <w:b/>
          <w:bCs/>
          <w:i/>
          <w:iCs/>
          <w:color w:val="000000"/>
          <w:sz w:val="22"/>
          <w:szCs w:val="22"/>
          <w:lang w:eastAsia="es-MX"/>
        </w:rPr>
      </w:pPr>
      <w:r w:rsidRPr="00AC2D21">
        <w:rPr>
          <w:rFonts w:ascii="Helvetica" w:eastAsia="Times New Roman" w:hAnsi="Helvetica" w:cs="Arial"/>
          <w:b/>
          <w:bCs/>
          <w:i/>
          <w:iCs/>
          <w:color w:val="000000"/>
          <w:sz w:val="22"/>
          <w:szCs w:val="22"/>
          <w:lang w:eastAsia="es-MX"/>
        </w:rPr>
        <w:t>Flujos netos de efectivo de actividades de operación</w:t>
      </w:r>
    </w:p>
    <w:p w14:paraId="35B6A798"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bdr w:val="single" w:sz="6" w:space="0" w:color="000000" w:frame="1"/>
          <w:lang w:eastAsia="es-MX"/>
        </w:rPr>
        <w:t>1,950</w:t>
      </w:r>
    </w:p>
    <w:p w14:paraId="3B484FA8" w14:textId="77777777" w:rsidR="00AC2D21" w:rsidRPr="00AC2D21" w:rsidRDefault="00AC2D21" w:rsidP="00AC2D21">
      <w:pPr>
        <w:pBdr>
          <w:bottom w:val="single" w:sz="6" w:space="0" w:color="000000"/>
        </w:pBdr>
        <w:spacing w:before="288" w:line="480" w:lineRule="auto"/>
        <w:ind w:right="192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Actividades de inversión</w:t>
      </w:r>
    </w:p>
    <w:p w14:paraId="6024A6E9"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Negocio adquirido</w:t>
      </w:r>
    </w:p>
    <w:p w14:paraId="79243266"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650</w:t>
      </w:r>
    </w:p>
    <w:p w14:paraId="7CAE799F"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Intereses cobrados</w:t>
      </w:r>
    </w:p>
    <w:p w14:paraId="4C7CD1A8"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50</w:t>
      </w:r>
    </w:p>
    <w:p w14:paraId="6B83EE79"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Dividendos cobrados</w:t>
      </w:r>
    </w:p>
    <w:p w14:paraId="3F608CFF"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100</w:t>
      </w:r>
    </w:p>
    <w:p w14:paraId="760DE1FC"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lastRenderedPageBreak/>
        <w:t>Adquisición de propiedades, planta y equipo</w:t>
      </w:r>
    </w:p>
    <w:p w14:paraId="0DA3681A"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350</w:t>
      </w:r>
    </w:p>
    <w:p w14:paraId="50DD621F"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Cobros por venta de propiedades, planta y equipo</w:t>
      </w:r>
    </w:p>
    <w:p w14:paraId="580A0D56"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30</w:t>
      </w:r>
    </w:p>
    <w:p w14:paraId="14AE806D" w14:textId="77777777" w:rsidR="00AC2D21" w:rsidRPr="00AC2D21" w:rsidRDefault="00AC2D21" w:rsidP="00AC2D21">
      <w:pPr>
        <w:spacing w:before="240" w:line="480" w:lineRule="auto"/>
        <w:ind w:right="1920"/>
        <w:jc w:val="both"/>
        <w:rPr>
          <w:rFonts w:ascii="Helvetica" w:eastAsia="Times New Roman" w:hAnsi="Helvetica" w:cs="Arial"/>
          <w:b/>
          <w:bCs/>
          <w:i/>
          <w:iCs/>
          <w:color w:val="000000"/>
          <w:sz w:val="22"/>
          <w:szCs w:val="22"/>
          <w:lang w:eastAsia="es-MX"/>
        </w:rPr>
      </w:pPr>
      <w:r w:rsidRPr="00AC2D21">
        <w:rPr>
          <w:rFonts w:ascii="Helvetica" w:eastAsia="Times New Roman" w:hAnsi="Helvetica" w:cs="Arial"/>
          <w:b/>
          <w:bCs/>
          <w:i/>
          <w:iCs/>
          <w:color w:val="000000"/>
          <w:sz w:val="22"/>
          <w:szCs w:val="22"/>
          <w:lang w:eastAsia="es-MX"/>
        </w:rPr>
        <w:t>Flujos netos de efectivo de actividades de inversión</w:t>
      </w:r>
    </w:p>
    <w:p w14:paraId="05818375" w14:textId="77777777" w:rsidR="00AC2D21" w:rsidRPr="00AC2D21" w:rsidRDefault="00AC2D21" w:rsidP="00AC2D21">
      <w:pPr>
        <w:spacing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bdr w:val="single" w:sz="6" w:space="0" w:color="000000" w:frame="1"/>
          <w:lang w:eastAsia="es-MX"/>
        </w:rPr>
        <w:t>– 820</w:t>
      </w:r>
    </w:p>
    <w:p w14:paraId="549CD946" w14:textId="77777777" w:rsidR="00AC2D21" w:rsidRPr="00AC2D21" w:rsidRDefault="00AC2D21" w:rsidP="00AC2D21">
      <w:pPr>
        <w:spacing w:before="240"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1,130</w:t>
      </w:r>
    </w:p>
    <w:p w14:paraId="20482DFF" w14:textId="77777777" w:rsidR="00AC2D21" w:rsidRPr="00AC2D21" w:rsidRDefault="00AC2D21" w:rsidP="00AC2D21">
      <w:pPr>
        <w:spacing w:line="480" w:lineRule="auto"/>
        <w:ind w:right="1920"/>
        <w:jc w:val="both"/>
        <w:rPr>
          <w:rFonts w:ascii="Helvetica" w:eastAsia="Times New Roman" w:hAnsi="Helvetica" w:cs="Arial"/>
          <w:b/>
          <w:bCs/>
          <w:i/>
          <w:iCs/>
          <w:color w:val="000000"/>
          <w:sz w:val="22"/>
          <w:szCs w:val="22"/>
          <w:lang w:eastAsia="es-MX"/>
        </w:rPr>
      </w:pPr>
      <w:r w:rsidRPr="00AC2D21">
        <w:rPr>
          <w:rFonts w:ascii="Helvetica" w:eastAsia="Times New Roman" w:hAnsi="Helvetica" w:cs="Arial"/>
          <w:b/>
          <w:bCs/>
          <w:i/>
          <w:iCs/>
          <w:color w:val="000000"/>
          <w:sz w:val="22"/>
          <w:szCs w:val="22"/>
          <w:lang w:eastAsia="es-MX"/>
        </w:rPr>
        <w:t>Efectivo excedente para aplicar en actividades de financiamiento</w:t>
      </w:r>
    </w:p>
    <w:p w14:paraId="0C1941C4" w14:textId="77777777" w:rsidR="00AC2D21" w:rsidRPr="00AC2D21" w:rsidRDefault="00AC2D21" w:rsidP="00AC2D21">
      <w:pPr>
        <w:pBdr>
          <w:bottom w:val="single" w:sz="6" w:space="0" w:color="000000"/>
        </w:pBdr>
        <w:spacing w:before="288" w:line="480" w:lineRule="auto"/>
        <w:ind w:right="192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Actividades de financiamiento</w:t>
      </w:r>
    </w:p>
    <w:p w14:paraId="3FFCC389"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Entrada de efectivo por emisión de capital</w:t>
      </w:r>
    </w:p>
    <w:p w14:paraId="5EE6359C"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250</w:t>
      </w:r>
    </w:p>
    <w:p w14:paraId="40A38F84"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Obtención de préstamos a largo plazo</w:t>
      </w:r>
    </w:p>
    <w:p w14:paraId="5DC59FBB"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250</w:t>
      </w:r>
    </w:p>
    <w:p w14:paraId="018DAE8A" w14:textId="77777777" w:rsidR="00AC2D21" w:rsidRPr="00AC2D21" w:rsidRDefault="00AC2D21" w:rsidP="00AC2D21">
      <w:pPr>
        <w:spacing w:before="240" w:line="480" w:lineRule="auto"/>
        <w:ind w:right="1920"/>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Pago de pasivos derivados de arrendamientos financieros</w:t>
      </w:r>
    </w:p>
    <w:p w14:paraId="336DA34C"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90</w:t>
      </w:r>
    </w:p>
    <w:p w14:paraId="101E792C"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Intereses pagados</w:t>
      </w:r>
    </w:p>
    <w:p w14:paraId="7C1B54CD"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270</w:t>
      </w:r>
    </w:p>
    <w:p w14:paraId="3F912D6D" w14:textId="77777777" w:rsidR="00AC2D21" w:rsidRPr="00AC2D21" w:rsidRDefault="00AC2D21" w:rsidP="00AC2D21">
      <w:pPr>
        <w:spacing w:before="240" w:line="480" w:lineRule="auto"/>
        <w:jc w:val="both"/>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Dividendos pagados</w:t>
      </w:r>
    </w:p>
    <w:p w14:paraId="3F8894E0"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 1,200</w:t>
      </w:r>
    </w:p>
    <w:p w14:paraId="75C42CE3" w14:textId="77777777" w:rsidR="00AC2D21" w:rsidRPr="00AC2D21" w:rsidRDefault="00AC2D21" w:rsidP="00AC2D21">
      <w:pPr>
        <w:spacing w:before="240" w:line="480" w:lineRule="auto"/>
        <w:ind w:right="1920"/>
        <w:jc w:val="both"/>
        <w:rPr>
          <w:rFonts w:ascii="Helvetica" w:eastAsia="Times New Roman" w:hAnsi="Helvetica" w:cs="Arial"/>
          <w:b/>
          <w:bCs/>
          <w:i/>
          <w:iCs/>
          <w:color w:val="000000"/>
          <w:sz w:val="22"/>
          <w:szCs w:val="22"/>
          <w:lang w:eastAsia="es-MX"/>
        </w:rPr>
      </w:pPr>
      <w:r w:rsidRPr="00AC2D21">
        <w:rPr>
          <w:rFonts w:ascii="Helvetica" w:eastAsia="Times New Roman" w:hAnsi="Helvetica" w:cs="Arial"/>
          <w:b/>
          <w:bCs/>
          <w:i/>
          <w:iCs/>
          <w:color w:val="000000"/>
          <w:sz w:val="22"/>
          <w:szCs w:val="22"/>
          <w:lang w:eastAsia="es-MX"/>
        </w:rPr>
        <w:t>Flujos netos de efectivo de actividades de financiamiento</w:t>
      </w:r>
    </w:p>
    <w:p w14:paraId="01FB06AA"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b/>
          <w:bCs/>
          <w:color w:val="000000"/>
          <w:sz w:val="22"/>
          <w:szCs w:val="22"/>
          <w:bdr w:val="single" w:sz="6" w:space="0" w:color="000000" w:frame="1"/>
          <w:lang w:eastAsia="es-MX"/>
        </w:rPr>
        <w:lastRenderedPageBreak/>
        <w:t>– 1,060</w:t>
      </w:r>
    </w:p>
    <w:p w14:paraId="163B6786" w14:textId="77777777" w:rsidR="00AC2D21" w:rsidRPr="00AC2D21" w:rsidRDefault="00AC2D21" w:rsidP="00AC2D21">
      <w:pPr>
        <w:spacing w:before="240" w:line="480" w:lineRule="auto"/>
        <w:jc w:val="right"/>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70</w:t>
      </w:r>
    </w:p>
    <w:p w14:paraId="7FFF4942" w14:textId="77777777" w:rsidR="00AC2D21" w:rsidRPr="00AC2D21" w:rsidRDefault="00AC2D21" w:rsidP="00AC2D21">
      <w:pPr>
        <w:spacing w:line="480" w:lineRule="auto"/>
        <w:ind w:right="192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Incremento neto de efectivo y demás equivalentes de efectivo</w:t>
      </w:r>
    </w:p>
    <w:p w14:paraId="7FAA680D" w14:textId="77777777" w:rsidR="00AC2D21" w:rsidRPr="00AC2D21" w:rsidRDefault="00AC2D21" w:rsidP="00AC2D21">
      <w:pPr>
        <w:spacing w:before="576" w:line="480" w:lineRule="auto"/>
        <w:ind w:right="192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Efectivo y equivalentes de efectivo al principio del periodo</w:t>
      </w:r>
    </w:p>
    <w:p w14:paraId="4766BD53"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160</w:t>
      </w:r>
    </w:p>
    <w:p w14:paraId="4B79E3B5" w14:textId="77777777" w:rsidR="00AC2D21" w:rsidRPr="00AC2D21" w:rsidRDefault="00AC2D21" w:rsidP="00AC2D21">
      <w:pPr>
        <w:spacing w:before="240" w:line="480" w:lineRule="auto"/>
        <w:ind w:right="1920"/>
        <w:jc w:val="both"/>
        <w:rPr>
          <w:rFonts w:ascii="Helvetica" w:eastAsia="Times New Roman" w:hAnsi="Helvetica" w:cs="Arial"/>
          <w:b/>
          <w:bCs/>
          <w:color w:val="000000"/>
          <w:sz w:val="22"/>
          <w:szCs w:val="22"/>
          <w:lang w:eastAsia="es-MX"/>
        </w:rPr>
      </w:pPr>
      <w:r w:rsidRPr="00AC2D21">
        <w:rPr>
          <w:rFonts w:ascii="Helvetica" w:eastAsia="Times New Roman" w:hAnsi="Helvetica" w:cs="Arial"/>
          <w:b/>
          <w:bCs/>
          <w:color w:val="000000"/>
          <w:sz w:val="22"/>
          <w:szCs w:val="22"/>
          <w:lang w:eastAsia="es-MX"/>
        </w:rPr>
        <w:t>Efectivo y equivalentes de efectivo al final del periodo</w:t>
      </w:r>
    </w:p>
    <w:p w14:paraId="1E216655" w14:textId="77777777" w:rsidR="00AC2D21" w:rsidRPr="00AC2D21" w:rsidRDefault="00AC2D21" w:rsidP="00AC2D21">
      <w:pPr>
        <w:spacing w:line="480" w:lineRule="auto"/>
        <w:jc w:val="right"/>
        <w:rPr>
          <w:rFonts w:ascii="Helvetica" w:eastAsia="Times New Roman" w:hAnsi="Helvetica" w:cs="Arial"/>
          <w:color w:val="000000"/>
          <w:sz w:val="22"/>
          <w:szCs w:val="22"/>
          <w:lang w:eastAsia="es-MX"/>
        </w:rPr>
      </w:pPr>
      <w:r w:rsidRPr="00AC2D21">
        <w:rPr>
          <w:rFonts w:ascii="Helvetica" w:eastAsia="Times New Roman" w:hAnsi="Helvetica" w:cs="Arial"/>
          <w:color w:val="000000"/>
          <w:sz w:val="22"/>
          <w:szCs w:val="22"/>
          <w:lang w:eastAsia="es-MX"/>
        </w:rPr>
        <w:t>$230</w:t>
      </w:r>
    </w:p>
    <w:p w14:paraId="2F59DAB4" w14:textId="2527E889" w:rsidR="00AC2D21" w:rsidRPr="00AC2D21" w:rsidRDefault="00AC2D21" w:rsidP="00AC2D21">
      <w:pPr>
        <w:rPr>
          <w:rFonts w:ascii="Helvetica" w:hAnsi="Helvetica"/>
          <w:sz w:val="22"/>
          <w:szCs w:val="22"/>
          <w:lang w:eastAsia="es-MX"/>
        </w:rPr>
      </w:pPr>
    </w:p>
    <w:p w14:paraId="07108BA4" w14:textId="20C9CB14" w:rsidR="00AC2D21" w:rsidRPr="00AC2D21" w:rsidRDefault="00AC2D21" w:rsidP="00AC2D21">
      <w:pPr>
        <w:rPr>
          <w:rFonts w:ascii="Helvetica" w:hAnsi="Helvetica"/>
          <w:sz w:val="22"/>
          <w:szCs w:val="22"/>
          <w:lang w:eastAsia="es-MX"/>
        </w:rPr>
      </w:pPr>
    </w:p>
    <w:p w14:paraId="78807017" w14:textId="77777777" w:rsidR="00AC2D21" w:rsidRPr="00AC2D21" w:rsidRDefault="00AC2D21" w:rsidP="00AC2D21">
      <w:pPr>
        <w:rPr>
          <w:rFonts w:ascii="Helvetica" w:hAnsi="Helvetica"/>
          <w:sz w:val="22"/>
          <w:szCs w:val="22"/>
          <w:lang w:eastAsia="es-MX"/>
        </w:rPr>
      </w:pPr>
    </w:p>
    <w:p w14:paraId="37CC2D3B" w14:textId="77777777" w:rsidR="00DC37DD" w:rsidRPr="00DF13F9" w:rsidRDefault="00DC37DD" w:rsidP="00DF13F9">
      <w:pPr>
        <w:pStyle w:val="Subttulo"/>
        <w:ind w:left="284" w:hanging="284"/>
        <w:jc w:val="both"/>
        <w:rPr>
          <w:rFonts w:ascii="Helvetica" w:hAnsi="Helvetica"/>
          <w:color w:val="000000" w:themeColor="text1"/>
          <w:sz w:val="24"/>
          <w:szCs w:val="24"/>
        </w:rPr>
      </w:pPr>
    </w:p>
    <w:sectPr w:rsidR="00DC37DD" w:rsidRPr="00DF13F9" w:rsidSect="002D34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38"/>
    <w:rsid w:val="001E20F5"/>
    <w:rsid w:val="002D34A2"/>
    <w:rsid w:val="00511C8F"/>
    <w:rsid w:val="00545B38"/>
    <w:rsid w:val="007133F3"/>
    <w:rsid w:val="00AC2D21"/>
    <w:rsid w:val="00AD32C1"/>
    <w:rsid w:val="00C13A58"/>
    <w:rsid w:val="00D36C7C"/>
    <w:rsid w:val="00DC37DD"/>
    <w:rsid w:val="00DF1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2A10"/>
  <w15:chartTrackingRefBased/>
  <w15:docId w15:val="{BD9D5A91-65AA-2F41-8217-45E00769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13A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545B38"/>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d5">
    <w:name w:val="pad5"/>
    <w:basedOn w:val="Normal"/>
    <w:rsid w:val="00545B38"/>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545B38"/>
    <w:rPr>
      <w:color w:val="0000FF"/>
      <w:u w:val="single"/>
    </w:rPr>
  </w:style>
  <w:style w:type="paragraph" w:customStyle="1" w:styleId="nin5">
    <w:name w:val="nin5"/>
    <w:basedOn w:val="Normal"/>
    <w:rsid w:val="00545B38"/>
    <w:pPr>
      <w:spacing w:before="100" w:beforeAutospacing="1" w:after="100" w:afterAutospacing="1"/>
    </w:pPr>
    <w:rPr>
      <w:rFonts w:ascii="Times New Roman" w:eastAsia="Times New Roman" w:hAnsi="Times New Roman" w:cs="Times New Roman"/>
      <w:lang w:eastAsia="es-MX"/>
    </w:rPr>
  </w:style>
  <w:style w:type="paragraph" w:customStyle="1" w:styleId="fat">
    <w:name w:val="fat"/>
    <w:basedOn w:val="Normal"/>
    <w:rsid w:val="00545B38"/>
    <w:pPr>
      <w:spacing w:before="100" w:beforeAutospacing="1" w:after="100" w:afterAutospacing="1"/>
    </w:pPr>
    <w:rPr>
      <w:rFonts w:ascii="Times New Roman" w:eastAsia="Times New Roman" w:hAnsi="Times New Roman" w:cs="Times New Roman"/>
      <w:lang w:eastAsia="es-MX"/>
    </w:rPr>
  </w:style>
  <w:style w:type="character" w:customStyle="1" w:styleId="apple-converted-space">
    <w:name w:val="apple-converted-space"/>
    <w:basedOn w:val="Fuentedeprrafopredeter"/>
    <w:rsid w:val="00545B38"/>
  </w:style>
  <w:style w:type="character" w:styleId="nfasis">
    <w:name w:val="Emphasis"/>
    <w:basedOn w:val="Fuentedeprrafopredeter"/>
    <w:uiPriority w:val="20"/>
    <w:qFormat/>
    <w:rsid w:val="00545B38"/>
    <w:rPr>
      <w:i/>
      <w:iCs/>
    </w:rPr>
  </w:style>
  <w:style w:type="paragraph" w:customStyle="1" w:styleId="nin7">
    <w:name w:val="nin7"/>
    <w:basedOn w:val="Normal"/>
    <w:rsid w:val="00545B38"/>
    <w:pPr>
      <w:spacing w:before="100" w:beforeAutospacing="1" w:after="100" w:afterAutospacing="1"/>
    </w:pPr>
    <w:rPr>
      <w:rFonts w:ascii="Times New Roman" w:eastAsia="Times New Roman" w:hAnsi="Times New Roman" w:cs="Times New Roman"/>
      <w:lang w:eastAsia="es-MX"/>
    </w:rPr>
  </w:style>
  <w:style w:type="paragraph" w:customStyle="1" w:styleId="noj">
    <w:name w:val="noj"/>
    <w:basedOn w:val="Normal"/>
    <w:rsid w:val="00545B38"/>
    <w:pPr>
      <w:spacing w:before="100" w:beforeAutospacing="1" w:after="100" w:afterAutospacing="1"/>
    </w:pPr>
    <w:rPr>
      <w:rFonts w:ascii="Times New Roman" w:eastAsia="Times New Roman" w:hAnsi="Times New Roman" w:cs="Times New Roman"/>
      <w:lang w:eastAsia="es-MX"/>
    </w:rPr>
  </w:style>
  <w:style w:type="paragraph" w:customStyle="1" w:styleId="nin9">
    <w:name w:val="nin9"/>
    <w:basedOn w:val="Normal"/>
    <w:rsid w:val="00545B38"/>
    <w:pPr>
      <w:spacing w:before="100" w:beforeAutospacing="1" w:after="100" w:afterAutospacing="1"/>
    </w:pPr>
    <w:rPr>
      <w:rFonts w:ascii="Times New Roman" w:eastAsia="Times New Roman" w:hAnsi="Times New Roman" w:cs="Times New Roman"/>
      <w:lang w:eastAsia="es-MX"/>
    </w:rPr>
  </w:style>
  <w:style w:type="character" w:customStyle="1" w:styleId="Ttulo2Car">
    <w:name w:val="Título 2 Car"/>
    <w:basedOn w:val="Fuentedeprrafopredeter"/>
    <w:link w:val="Ttulo2"/>
    <w:uiPriority w:val="9"/>
    <w:rsid w:val="00545B38"/>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C13A58"/>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C13A58"/>
  </w:style>
  <w:style w:type="paragraph" w:styleId="Subttulo">
    <w:name w:val="Subtitle"/>
    <w:basedOn w:val="Normal"/>
    <w:next w:val="Normal"/>
    <w:link w:val="SubttuloCar"/>
    <w:uiPriority w:val="11"/>
    <w:qFormat/>
    <w:rsid w:val="00C13A58"/>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C13A58"/>
    <w:rPr>
      <w:rFonts w:eastAsiaTheme="minorEastAsia"/>
      <w:color w:val="5A5A5A" w:themeColor="text1" w:themeTint="A5"/>
      <w:spacing w:val="15"/>
      <w:sz w:val="22"/>
      <w:szCs w:val="22"/>
    </w:rPr>
  </w:style>
  <w:style w:type="paragraph" w:customStyle="1" w:styleId="nin1">
    <w:name w:val="nin1"/>
    <w:basedOn w:val="Normal"/>
    <w:rsid w:val="00AC2D21"/>
    <w:pPr>
      <w:spacing w:before="100" w:beforeAutospacing="1" w:after="100" w:afterAutospacing="1"/>
    </w:pPr>
    <w:rPr>
      <w:rFonts w:ascii="Times New Roman" w:eastAsia="Times New Roman" w:hAnsi="Times New Roman" w:cs="Times New Roman"/>
      <w:lang w:eastAsia="es-MX"/>
    </w:rPr>
  </w:style>
  <w:style w:type="paragraph" w:customStyle="1" w:styleId="nin3">
    <w:name w:val="nin3"/>
    <w:basedOn w:val="Normal"/>
    <w:rsid w:val="00AC2D21"/>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AC2D21"/>
    <w:rPr>
      <w:b/>
      <w:bCs/>
    </w:rPr>
  </w:style>
  <w:style w:type="character" w:customStyle="1" w:styleId="borb">
    <w:name w:val="borb"/>
    <w:basedOn w:val="Fuentedeprrafopredeter"/>
    <w:rsid w:val="00AC2D21"/>
  </w:style>
  <w:style w:type="character" w:customStyle="1" w:styleId="bor">
    <w:name w:val="bor"/>
    <w:basedOn w:val="Fuentedeprrafopredeter"/>
    <w:rsid w:val="00AC2D21"/>
  </w:style>
  <w:style w:type="paragraph" w:customStyle="1" w:styleId="sb1">
    <w:name w:val="sb1"/>
    <w:basedOn w:val="Normal"/>
    <w:rsid w:val="00AC2D21"/>
    <w:pPr>
      <w:spacing w:before="100" w:beforeAutospacing="1" w:after="100" w:afterAutospacing="1"/>
    </w:pPr>
    <w:rPr>
      <w:rFonts w:ascii="Times New Roman" w:eastAsia="Times New Roman" w:hAnsi="Times New Roman" w:cs="Times New Roman"/>
      <w:lang w:eastAsia="es-MX"/>
    </w:rPr>
  </w:style>
  <w:style w:type="paragraph" w:customStyle="1" w:styleId="nin">
    <w:name w:val="nin"/>
    <w:basedOn w:val="Normal"/>
    <w:rsid w:val="00AC2D21"/>
    <w:pPr>
      <w:spacing w:before="100" w:beforeAutospacing="1" w:after="100" w:afterAutospacing="1"/>
    </w:pPr>
    <w:rPr>
      <w:rFonts w:ascii="Times New Roman" w:eastAsia="Times New Roman" w:hAnsi="Times New Roman" w:cs="Times New Roman"/>
      <w:lang w:eastAsia="es-MX"/>
    </w:rPr>
  </w:style>
  <w:style w:type="paragraph" w:customStyle="1" w:styleId="cen">
    <w:name w:val="cen"/>
    <w:basedOn w:val="Normal"/>
    <w:rsid w:val="00AC2D21"/>
    <w:pPr>
      <w:spacing w:before="100" w:beforeAutospacing="1" w:after="100" w:afterAutospacing="1"/>
    </w:pPr>
    <w:rPr>
      <w:rFonts w:ascii="Times New Roman" w:eastAsia="Times New Roman" w:hAnsi="Times New Roman" w:cs="Times New Roman"/>
      <w:lang w:eastAsia="es-MX"/>
    </w:rPr>
  </w:style>
  <w:style w:type="paragraph" w:customStyle="1" w:styleId="der">
    <w:name w:val="der"/>
    <w:basedOn w:val="Normal"/>
    <w:rsid w:val="00AC2D21"/>
    <w:pPr>
      <w:spacing w:before="100" w:beforeAutospacing="1" w:after="100" w:afterAutospacing="1"/>
    </w:pPr>
    <w:rPr>
      <w:rFonts w:ascii="Times New Roman" w:eastAsia="Times New Roman" w:hAnsi="Times New Roman" w:cs="Times New Roman"/>
      <w:lang w:eastAsia="es-MX"/>
    </w:rPr>
  </w:style>
  <w:style w:type="paragraph" w:customStyle="1" w:styleId="pad1">
    <w:name w:val="pad1"/>
    <w:basedOn w:val="Normal"/>
    <w:rsid w:val="00AC2D21"/>
    <w:pPr>
      <w:spacing w:before="100" w:beforeAutospacing="1" w:after="100" w:afterAutospacing="1"/>
    </w:pPr>
    <w:rPr>
      <w:rFonts w:ascii="Times New Roman" w:eastAsia="Times New Roman" w:hAnsi="Times New Roman" w:cs="Times New Roman"/>
      <w:lang w:eastAsia="es-MX"/>
    </w:rPr>
  </w:style>
  <w:style w:type="character" w:customStyle="1" w:styleId="bort">
    <w:name w:val="bort"/>
    <w:basedOn w:val="Fuentedeprrafopredeter"/>
    <w:rsid w:val="00AC2D21"/>
  </w:style>
  <w:style w:type="paragraph" w:customStyle="1" w:styleId="nin8">
    <w:name w:val="nin8"/>
    <w:basedOn w:val="Normal"/>
    <w:rsid w:val="00AC2D21"/>
    <w:pPr>
      <w:spacing w:before="100" w:beforeAutospacing="1" w:after="100" w:afterAutospacing="1"/>
    </w:pPr>
    <w:rPr>
      <w:rFonts w:ascii="Times New Roman" w:eastAsia="Times New Roman" w:hAnsi="Times New Roman" w:cs="Times New Roman"/>
      <w:lang w:eastAsia="es-MX"/>
    </w:rPr>
  </w:style>
  <w:style w:type="paragraph" w:customStyle="1" w:styleId="emi12">
    <w:name w:val="emi12"/>
    <w:basedOn w:val="Normal"/>
    <w:rsid w:val="00AC2D21"/>
    <w:pPr>
      <w:spacing w:before="100" w:beforeAutospacing="1" w:after="100" w:afterAutospacing="1"/>
    </w:pPr>
    <w:rPr>
      <w:rFonts w:ascii="Times New Roman" w:eastAsia="Times New Roman" w:hAnsi="Times New Roman" w:cs="Times New Roman"/>
      <w:lang w:eastAsia="es-MX"/>
    </w:rPr>
  </w:style>
  <w:style w:type="character" w:customStyle="1" w:styleId="borh">
    <w:name w:val="borh"/>
    <w:basedOn w:val="Fuentedeprrafopredeter"/>
    <w:rsid w:val="00AC2D21"/>
  </w:style>
  <w:style w:type="character" w:customStyle="1" w:styleId="pad11">
    <w:name w:val="pad11"/>
    <w:basedOn w:val="Fuentedeprrafopredeter"/>
    <w:rsid w:val="00AC2D21"/>
  </w:style>
  <w:style w:type="paragraph" w:customStyle="1" w:styleId="lim6">
    <w:name w:val="lim6"/>
    <w:basedOn w:val="Normal"/>
    <w:rsid w:val="00AC2D21"/>
    <w:pPr>
      <w:spacing w:before="100" w:beforeAutospacing="1" w:after="100" w:afterAutospacing="1"/>
    </w:pPr>
    <w:rPr>
      <w:rFonts w:ascii="Times New Roman" w:eastAsia="Times New Roman" w:hAnsi="Times New Roman" w:cs="Times New Roman"/>
      <w:lang w:eastAsia="es-MX"/>
    </w:rPr>
  </w:style>
  <w:style w:type="character" w:customStyle="1" w:styleId="borb2">
    <w:name w:val="borb_2"/>
    <w:basedOn w:val="Fuentedeprrafopredeter"/>
    <w:rsid w:val="00AC2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8748">
      <w:bodyDiv w:val="1"/>
      <w:marLeft w:val="0"/>
      <w:marRight w:val="0"/>
      <w:marTop w:val="0"/>
      <w:marBottom w:val="0"/>
      <w:divBdr>
        <w:top w:val="none" w:sz="0" w:space="0" w:color="auto"/>
        <w:left w:val="none" w:sz="0" w:space="0" w:color="auto"/>
        <w:bottom w:val="none" w:sz="0" w:space="0" w:color="auto"/>
        <w:right w:val="none" w:sz="0" w:space="0" w:color="auto"/>
      </w:divBdr>
    </w:div>
    <w:div w:id="217595192">
      <w:bodyDiv w:val="1"/>
      <w:marLeft w:val="0"/>
      <w:marRight w:val="0"/>
      <w:marTop w:val="0"/>
      <w:marBottom w:val="0"/>
      <w:divBdr>
        <w:top w:val="none" w:sz="0" w:space="0" w:color="auto"/>
        <w:left w:val="none" w:sz="0" w:space="0" w:color="auto"/>
        <w:bottom w:val="none" w:sz="0" w:space="0" w:color="auto"/>
        <w:right w:val="none" w:sz="0" w:space="0" w:color="auto"/>
      </w:divBdr>
    </w:div>
    <w:div w:id="713971471">
      <w:bodyDiv w:val="1"/>
      <w:marLeft w:val="0"/>
      <w:marRight w:val="0"/>
      <w:marTop w:val="0"/>
      <w:marBottom w:val="0"/>
      <w:divBdr>
        <w:top w:val="none" w:sz="0" w:space="0" w:color="auto"/>
        <w:left w:val="none" w:sz="0" w:space="0" w:color="auto"/>
        <w:bottom w:val="none" w:sz="0" w:space="0" w:color="auto"/>
        <w:right w:val="none" w:sz="0" w:space="0" w:color="auto"/>
      </w:divBdr>
      <w:divsChild>
        <w:div w:id="164246450">
          <w:marLeft w:val="2736"/>
          <w:marRight w:val="2736"/>
          <w:marTop w:val="0"/>
          <w:marBottom w:val="0"/>
          <w:divBdr>
            <w:top w:val="none" w:sz="0" w:space="0" w:color="auto"/>
            <w:left w:val="none" w:sz="0" w:space="0" w:color="auto"/>
            <w:bottom w:val="none" w:sz="0" w:space="0" w:color="auto"/>
            <w:right w:val="none" w:sz="0" w:space="0" w:color="auto"/>
          </w:divBdr>
        </w:div>
        <w:div w:id="1932348663">
          <w:marLeft w:val="2736"/>
          <w:marRight w:val="2736"/>
          <w:marTop w:val="0"/>
          <w:marBottom w:val="0"/>
          <w:divBdr>
            <w:top w:val="none" w:sz="0" w:space="0" w:color="auto"/>
            <w:left w:val="none" w:sz="0" w:space="0" w:color="auto"/>
            <w:bottom w:val="none" w:sz="0" w:space="0" w:color="auto"/>
            <w:right w:val="none" w:sz="0" w:space="0" w:color="auto"/>
          </w:divBdr>
        </w:div>
        <w:div w:id="1251236762">
          <w:marLeft w:val="0"/>
          <w:marRight w:val="0"/>
          <w:marTop w:val="0"/>
          <w:marBottom w:val="0"/>
          <w:divBdr>
            <w:top w:val="none" w:sz="0" w:space="0" w:color="auto"/>
            <w:left w:val="none" w:sz="0" w:space="0" w:color="auto"/>
            <w:bottom w:val="none" w:sz="0" w:space="0" w:color="auto"/>
            <w:right w:val="none" w:sz="0" w:space="0" w:color="auto"/>
          </w:divBdr>
        </w:div>
        <w:div w:id="1196456610">
          <w:marLeft w:val="0"/>
          <w:marRight w:val="0"/>
          <w:marTop w:val="0"/>
          <w:marBottom w:val="0"/>
          <w:divBdr>
            <w:top w:val="none" w:sz="0" w:space="0" w:color="auto"/>
            <w:left w:val="none" w:sz="0" w:space="0" w:color="auto"/>
            <w:bottom w:val="none" w:sz="0" w:space="0" w:color="auto"/>
            <w:right w:val="none" w:sz="0" w:space="0" w:color="auto"/>
          </w:divBdr>
        </w:div>
        <w:div w:id="1228423237">
          <w:marLeft w:val="480"/>
          <w:marRight w:val="480"/>
          <w:marTop w:val="0"/>
          <w:marBottom w:val="0"/>
          <w:divBdr>
            <w:top w:val="none" w:sz="0" w:space="0" w:color="auto"/>
            <w:left w:val="none" w:sz="0" w:space="0" w:color="auto"/>
            <w:bottom w:val="none" w:sz="0" w:space="0" w:color="auto"/>
            <w:right w:val="none" w:sz="0" w:space="0" w:color="auto"/>
          </w:divBdr>
        </w:div>
        <w:div w:id="1106534268">
          <w:marLeft w:val="48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Users/jzc/Library/Containers/com.impelsys.iofflinedesktop/Data/Library/Application%20Support/GenericReaderAppcontent.org/eBook/13/temp/OPS30/011_.xhtml" TargetMode="External"/><Relationship Id="rId18" Type="http://schemas.openxmlformats.org/officeDocument/2006/relationships/hyperlink" Target="file:///Users/jzc/Library/Containers/com.impelsys.iofflinedesktop/Data/Library/Application%20Support/GenericReaderAppcontent.org/eBook/13/temp/OPS30/011_.xhtml" TargetMode="External"/><Relationship Id="rId26" Type="http://schemas.openxmlformats.org/officeDocument/2006/relationships/hyperlink" Target="file:///Users/jzc/Library/Containers/com.impelsys.iofflinedesktop/Data/Library/Application%20Support/GenericReaderAppcontent.org/eBook/13/temp/OPS30/011_.xhtml" TargetMode="External"/><Relationship Id="rId3" Type="http://schemas.openxmlformats.org/officeDocument/2006/relationships/webSettings" Target="webSettings.xml"/><Relationship Id="rId21" Type="http://schemas.openxmlformats.org/officeDocument/2006/relationships/hyperlink" Target="file:///Users/jzc/Library/Containers/com.impelsys.iofflinedesktop/Data/Library/Application%20Support/GenericReaderAppcontent.org/eBook/13/temp/OPS30/011_.xhtml" TargetMode="External"/><Relationship Id="rId34" Type="http://schemas.openxmlformats.org/officeDocument/2006/relationships/hyperlink" Target="file:///Users/jzc/Library/Containers/com.impelsys.iofflinedesktop/Data/Library/Application%20Support/GenericReaderAppcontent.org/eBook/13/temp/OPS30/011_.xhtml" TargetMode="External"/><Relationship Id="rId7" Type="http://schemas.openxmlformats.org/officeDocument/2006/relationships/hyperlink" Target="file:///Users/jzc/Library/Containers/com.impelsys.iofflinedesktop/Data/Library/Application%20Support/GenericReaderAppcontent.org/eBook/13/temp/OPS30/011_.xhtml" TargetMode="External"/><Relationship Id="rId12" Type="http://schemas.openxmlformats.org/officeDocument/2006/relationships/hyperlink" Target="file:///Users/jzc/Library/Containers/com.impelsys.iofflinedesktop/Data/Library/Application%20Support/GenericReaderAppcontent.org/eBook/13/temp/OPS30/011_.xhtml" TargetMode="External"/><Relationship Id="rId17" Type="http://schemas.openxmlformats.org/officeDocument/2006/relationships/hyperlink" Target="file:///Users/jzc/Library/Containers/com.impelsys.iofflinedesktop/Data/Library/Application%20Support/GenericReaderAppcontent.org/eBook/13/temp/OPS30/011_.xhtml" TargetMode="External"/><Relationship Id="rId25" Type="http://schemas.openxmlformats.org/officeDocument/2006/relationships/hyperlink" Target="file:///Users/jzc/Library/Containers/com.impelsys.iofflinedesktop/Data/Library/Application%20Support/GenericReaderAppcontent.org/eBook/13/temp/OPS30/011_.xhtml" TargetMode="External"/><Relationship Id="rId33"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file:///Users/jzc/Library/Containers/com.impelsys.iofflinedesktop/Data/Library/Application%20Support/GenericReaderAppcontent.org/eBook/13/temp/OPS30/011_.xhtml" TargetMode="External"/><Relationship Id="rId20" Type="http://schemas.openxmlformats.org/officeDocument/2006/relationships/hyperlink" Target="file:///Users/jzc/Library/Containers/com.impelsys.iofflinedesktop/Data/Library/Application%20Support/GenericReaderAppcontent.org/eBook/13/temp/OPS30/011_.xhtml" TargetMode="External"/><Relationship Id="rId29" Type="http://schemas.openxmlformats.org/officeDocument/2006/relationships/hyperlink" Target="file:///Users/jzc/Library/Containers/com.impelsys.iofflinedesktop/Data/Library/Application%20Support/GenericReaderAppcontent.org/eBook/13/temp/OPS30/011_.xhtml" TargetMode="External"/><Relationship Id="rId1" Type="http://schemas.openxmlformats.org/officeDocument/2006/relationships/styles" Target="styles.xml"/><Relationship Id="rId6" Type="http://schemas.openxmlformats.org/officeDocument/2006/relationships/hyperlink" Target="file:///Users/jzc/Library/Containers/com.impelsys.iofflinedesktop/Data/Library/Application%20Support/GenericReaderAppcontent.org/eBook/13/temp/OPS30/011_.xhtml" TargetMode="External"/><Relationship Id="rId11" Type="http://schemas.openxmlformats.org/officeDocument/2006/relationships/hyperlink" Target="file:///Users/jzc/Library/Containers/com.impelsys.iofflinedesktop/Data/Library/Application%20Support/GenericReaderAppcontent.org/eBook/13/temp/OPS30/011_.xhtml" TargetMode="External"/><Relationship Id="rId24" Type="http://schemas.openxmlformats.org/officeDocument/2006/relationships/hyperlink" Target="file:///Users/jzc/Library/Containers/com.impelsys.iofflinedesktop/Data/Library/Application%20Support/GenericReaderAppcontent.org/eBook/13/temp/OPS30/011_.xhtml" TargetMode="External"/><Relationship Id="rId32" Type="http://schemas.openxmlformats.org/officeDocument/2006/relationships/hyperlink" Target="file:///Users/jzc/Library/Containers/com.impelsys.iofflinedesktop/Data/Library/Application%20Support/GenericReaderAppcontent.org/eBook/13/temp/OPS30/011_.xhtml" TargetMode="External"/><Relationship Id="rId5" Type="http://schemas.openxmlformats.org/officeDocument/2006/relationships/hyperlink" Target="file:///Users/jzc/Library/Containers/com.impelsys.iofflinedesktop/Data/Library/Application%20Support/GenericReaderAppcontent.org/eBook/13/temp/OPS30/011_.xhtml" TargetMode="External"/><Relationship Id="rId15" Type="http://schemas.openxmlformats.org/officeDocument/2006/relationships/hyperlink" Target="file:///Users/jzc/Library/Containers/com.impelsys.iofflinedesktop/Data/Library/Application%20Support/GenericReaderAppcontent.org/eBook/13/temp/OPS30/011_.xhtml" TargetMode="External"/><Relationship Id="rId23" Type="http://schemas.openxmlformats.org/officeDocument/2006/relationships/hyperlink" Target="file:///Users/jzc/Library/Containers/com.impelsys.iofflinedesktop/Data/Library/Application%20Support/GenericReaderAppcontent.org/eBook/13/temp/OPS30/011_.xhtml" TargetMode="External"/><Relationship Id="rId28" Type="http://schemas.openxmlformats.org/officeDocument/2006/relationships/hyperlink" Target="file:///Users/jzc/Library/Containers/com.impelsys.iofflinedesktop/Data/Library/Application%20Support/GenericReaderAppcontent.org/eBook/13/temp/OPS30/011_.xhtml" TargetMode="External"/><Relationship Id="rId36" Type="http://schemas.openxmlformats.org/officeDocument/2006/relationships/theme" Target="theme/theme1.xml"/><Relationship Id="rId10" Type="http://schemas.openxmlformats.org/officeDocument/2006/relationships/hyperlink" Target="file:///Users/jzc/Library/Containers/com.impelsys.iofflinedesktop/Data/Library/Application%20Support/GenericReaderAppcontent.org/eBook/13/temp/OPS30/011_.xhtml" TargetMode="External"/><Relationship Id="rId19" Type="http://schemas.openxmlformats.org/officeDocument/2006/relationships/hyperlink" Target="file:///Users/jzc/Library/Containers/com.impelsys.iofflinedesktop/Data/Library/Application%20Support/GenericReaderAppcontent.org/eBook/13/temp/OPS30/011_.xhtml" TargetMode="External"/><Relationship Id="rId31" Type="http://schemas.openxmlformats.org/officeDocument/2006/relationships/image" Target="media/image1.jpeg"/><Relationship Id="rId4" Type="http://schemas.openxmlformats.org/officeDocument/2006/relationships/hyperlink" Target="file:///Users/jzc/Library/Containers/com.impelsys.iofflinedesktop/Data/Library/Application%20Support/GenericReaderAppcontent.org/eBook/13/temp/OPS30/011_.xhtml" TargetMode="External"/><Relationship Id="rId9" Type="http://schemas.openxmlformats.org/officeDocument/2006/relationships/hyperlink" Target="file:///Users/jzc/Library/Containers/com.impelsys.iofflinedesktop/Data/Library/Application%20Support/GenericReaderAppcontent.org/eBook/13/temp/OPS30/011_.xhtml" TargetMode="External"/><Relationship Id="rId14" Type="http://schemas.openxmlformats.org/officeDocument/2006/relationships/hyperlink" Target="file:///Users/jzc/Library/Containers/com.impelsys.iofflinedesktop/Data/Library/Application%20Support/GenericReaderAppcontent.org/eBook/13/temp/OPS30/011_.xhtml" TargetMode="External"/><Relationship Id="rId22" Type="http://schemas.openxmlformats.org/officeDocument/2006/relationships/hyperlink" Target="file:///Users/jzc/Library/Containers/com.impelsys.iofflinedesktop/Data/Library/Application%20Support/GenericReaderAppcontent.org/eBook/13/temp/OPS30/011_.xhtml" TargetMode="External"/><Relationship Id="rId27" Type="http://schemas.openxmlformats.org/officeDocument/2006/relationships/hyperlink" Target="file:///Users/jzc/Library/Containers/com.impelsys.iofflinedesktop/Data/Library/Application%20Support/GenericReaderAppcontent.org/eBook/13/temp/OPS30/011_.xhtml" TargetMode="External"/><Relationship Id="rId30" Type="http://schemas.openxmlformats.org/officeDocument/2006/relationships/hyperlink" Target="file:///Users/jzc/Library/Containers/com.impelsys.iofflinedesktop/Data/Library/Application%20Support/GenericReaderAppcontent.org/eBook/13/temp/OPS30/011_.xhtml" TargetMode="External"/><Relationship Id="rId35" Type="http://schemas.openxmlformats.org/officeDocument/2006/relationships/fontTable" Target="fontTable.xml"/><Relationship Id="rId8" Type="http://schemas.openxmlformats.org/officeDocument/2006/relationships/hyperlink" Target="file:///Users/jzc/Library/Containers/com.impelsys.iofflinedesktop/Data/Library/Application%20Support/GenericReaderAppcontent.org/eBook/13/temp/OPS30/011_.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32</Pages>
  <Words>5439</Words>
  <Characters>29916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ZUÑIGA CARRASCO</dc:creator>
  <cp:keywords/>
  <dc:description/>
  <cp:lastModifiedBy>JORGE ZUÑIGA CARRASCO</cp:lastModifiedBy>
  <cp:revision>2</cp:revision>
  <dcterms:created xsi:type="dcterms:W3CDTF">2022-05-17T02:48:00Z</dcterms:created>
  <dcterms:modified xsi:type="dcterms:W3CDTF">2022-05-17T03:40:00Z</dcterms:modified>
</cp:coreProperties>
</file>